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D0E" w:rsidRDefault="00F27A35" w:rsidP="00AD5D0E">
      <w:pPr>
        <w:pStyle w:val="Textonotapie"/>
        <w:tabs>
          <w:tab w:val="left" w:pos="6379"/>
          <w:tab w:val="left" w:pos="7230"/>
          <w:tab w:val="left" w:pos="8505"/>
        </w:tabs>
        <w:ind w:left="2552" w:right="2126" w:hanging="1276"/>
        <w:jc w:val="both"/>
        <w:rPr>
          <w:rFonts w:ascii="Tahoma" w:hAnsi="Tahoma" w:cs="Tahoma"/>
          <w:b/>
          <w:i/>
          <w:sz w:val="22"/>
          <w:szCs w:val="22"/>
        </w:rPr>
      </w:pPr>
      <w:r w:rsidRPr="00CB0B36">
        <w:rPr>
          <w:rFonts w:ascii="Tahoma" w:hAnsi="Tahoma" w:cs="Tahoma"/>
          <w:b/>
          <w:i/>
          <w:sz w:val="22"/>
          <w:szCs w:val="22"/>
        </w:rPr>
        <w:t xml:space="preserve">Sumilla   : </w:t>
      </w:r>
      <w:r w:rsidR="00DE747B">
        <w:rPr>
          <w:rFonts w:ascii="Tahoma" w:hAnsi="Tahoma" w:cs="Tahoma"/>
          <w:b/>
          <w:i/>
          <w:sz w:val="22"/>
          <w:szCs w:val="22"/>
        </w:rPr>
        <w:t>“</w:t>
      </w:r>
      <w:r w:rsidR="00AD5D0E" w:rsidRPr="00AD5D0E">
        <w:rPr>
          <w:rFonts w:ascii="Tahoma" w:hAnsi="Tahoma" w:cs="Tahoma"/>
          <w:sz w:val="22"/>
          <w:szCs w:val="22"/>
        </w:rPr>
        <w:t>L</w:t>
      </w:r>
      <w:r w:rsidR="00AD5D0E" w:rsidRPr="004B1D10">
        <w:rPr>
          <w:rFonts w:ascii="Tahoma" w:hAnsi="Tahoma" w:cs="Tahoma"/>
          <w:sz w:val="22"/>
          <w:szCs w:val="22"/>
          <w:lang w:val="es-PE"/>
        </w:rPr>
        <w:t>a administración debe interpretar las normas de tal forma que sus fines sean alcanzados de manera racional y congruente con el cuerpo normativo al que pertenecen</w:t>
      </w:r>
      <w:r w:rsidR="00AD5D0E">
        <w:rPr>
          <w:rFonts w:ascii="Tahoma" w:hAnsi="Tahoma" w:cs="Tahoma"/>
          <w:sz w:val="22"/>
          <w:szCs w:val="22"/>
          <w:lang w:val="es-PE"/>
        </w:rPr>
        <w:t xml:space="preserve">, </w:t>
      </w:r>
      <w:r w:rsidR="00DE747B">
        <w:rPr>
          <w:rFonts w:ascii="Tahoma" w:hAnsi="Tahoma" w:cs="Tahoma"/>
          <w:sz w:val="22"/>
          <w:szCs w:val="22"/>
          <w:lang w:val="es-PE"/>
        </w:rPr>
        <w:t>debiéndose</w:t>
      </w:r>
      <w:r w:rsidR="00AD5D0E">
        <w:rPr>
          <w:rFonts w:ascii="Tahoma" w:hAnsi="Tahoma" w:cs="Tahoma"/>
          <w:sz w:val="22"/>
          <w:szCs w:val="22"/>
          <w:lang w:val="es-PE"/>
        </w:rPr>
        <w:t xml:space="preserve"> tener presente</w:t>
      </w:r>
      <w:r w:rsidR="00AD5D0E" w:rsidRPr="004B1D10">
        <w:rPr>
          <w:rFonts w:ascii="Tahoma" w:hAnsi="Tahoma" w:cs="Tahoma"/>
          <w:sz w:val="22"/>
          <w:szCs w:val="22"/>
        </w:rPr>
        <w:t xml:space="preserve"> que la forma de presentación de la propuesta, busca una plena vinculación del postor con aquello que oferta, mediante su aceptación y responsabilidad</w:t>
      </w:r>
      <w:r w:rsidR="00DE747B">
        <w:rPr>
          <w:rFonts w:ascii="Tahoma" w:hAnsi="Tahoma" w:cs="Tahoma"/>
          <w:sz w:val="22"/>
          <w:szCs w:val="22"/>
        </w:rPr>
        <w:t>”</w:t>
      </w:r>
    </w:p>
    <w:p w:rsidR="00F27A35" w:rsidRPr="00CB0B36" w:rsidRDefault="00F27A35" w:rsidP="00F27A35">
      <w:pPr>
        <w:pStyle w:val="Textonotapie"/>
        <w:tabs>
          <w:tab w:val="left" w:pos="5812"/>
          <w:tab w:val="left" w:pos="5954"/>
          <w:tab w:val="left" w:pos="7230"/>
          <w:tab w:val="left" w:pos="8505"/>
        </w:tabs>
        <w:ind w:left="2552" w:right="2551" w:hanging="1276"/>
        <w:jc w:val="both"/>
        <w:rPr>
          <w:rFonts w:ascii="Tahoma" w:hAnsi="Tahoma" w:cs="Tahoma"/>
          <w:i/>
          <w:sz w:val="22"/>
          <w:szCs w:val="22"/>
        </w:rPr>
      </w:pPr>
    </w:p>
    <w:p w:rsidR="00F27A35" w:rsidRPr="00CB0B36" w:rsidRDefault="00F06F83" w:rsidP="00F27A35">
      <w:pPr>
        <w:pStyle w:val="Textoindependiente3"/>
        <w:tabs>
          <w:tab w:val="left" w:pos="3544"/>
          <w:tab w:val="left" w:pos="7230"/>
          <w:tab w:val="left" w:pos="8505"/>
        </w:tabs>
        <w:spacing w:after="0"/>
        <w:ind w:left="4248"/>
        <w:rPr>
          <w:rFonts w:ascii="Tahoma" w:hAnsi="Tahoma" w:cs="Tahoma"/>
          <w:b/>
          <w:sz w:val="22"/>
          <w:szCs w:val="22"/>
        </w:rPr>
      </w:pPr>
      <w:r>
        <w:rPr>
          <w:rFonts w:ascii="Tahoma" w:hAnsi="Tahoma" w:cs="Tahoma"/>
          <w:b/>
          <w:sz w:val="22"/>
          <w:szCs w:val="22"/>
        </w:rPr>
        <w:t xml:space="preserve">                   </w:t>
      </w:r>
      <w:r w:rsidR="00F27A35" w:rsidRPr="00CB0B36">
        <w:rPr>
          <w:rFonts w:ascii="Tahoma" w:hAnsi="Tahoma" w:cs="Tahoma"/>
          <w:b/>
          <w:sz w:val="22"/>
          <w:szCs w:val="22"/>
        </w:rPr>
        <w:t xml:space="preserve">Lima, </w:t>
      </w:r>
      <w:r>
        <w:rPr>
          <w:rFonts w:ascii="Tahoma" w:hAnsi="Tahoma" w:cs="Tahoma"/>
          <w:b/>
          <w:sz w:val="22"/>
          <w:szCs w:val="22"/>
        </w:rPr>
        <w:t>04 de Marzo de 2011</w:t>
      </w:r>
    </w:p>
    <w:p w:rsidR="00F27A35" w:rsidRPr="00CB0B36" w:rsidRDefault="00F27A35" w:rsidP="00F27A35">
      <w:pPr>
        <w:pStyle w:val="Textoindependiente"/>
        <w:tabs>
          <w:tab w:val="left" w:pos="540"/>
          <w:tab w:val="left" w:pos="3544"/>
          <w:tab w:val="left" w:pos="7230"/>
          <w:tab w:val="left" w:pos="8505"/>
        </w:tabs>
        <w:rPr>
          <w:rFonts w:cs="Tahoma"/>
          <w:b/>
          <w:szCs w:val="22"/>
          <w:lang w:val="es-PE"/>
        </w:rPr>
      </w:pPr>
    </w:p>
    <w:p w:rsidR="00F27A35" w:rsidRPr="00CB0B36" w:rsidRDefault="00F27A35" w:rsidP="00F27A35">
      <w:pPr>
        <w:pStyle w:val="Textoindependiente"/>
        <w:tabs>
          <w:tab w:val="left" w:pos="540"/>
          <w:tab w:val="left" w:pos="3544"/>
          <w:tab w:val="left" w:pos="7230"/>
          <w:tab w:val="left" w:pos="8505"/>
        </w:tabs>
        <w:rPr>
          <w:rFonts w:cs="Tahoma"/>
          <w:b/>
          <w:szCs w:val="22"/>
          <w:lang w:val="es-PE"/>
        </w:rPr>
      </w:pPr>
    </w:p>
    <w:p w:rsidR="00F27A35" w:rsidRPr="00CB0B36" w:rsidRDefault="00F27A35" w:rsidP="00F27A35">
      <w:pPr>
        <w:autoSpaceDE w:val="0"/>
        <w:autoSpaceDN w:val="0"/>
        <w:adjustRightInd w:val="0"/>
        <w:ind w:firstLine="567"/>
        <w:jc w:val="both"/>
        <w:rPr>
          <w:rFonts w:ascii="Tahoma" w:hAnsi="Tahoma" w:cs="Tahoma"/>
          <w:sz w:val="22"/>
          <w:szCs w:val="22"/>
        </w:rPr>
      </w:pPr>
      <w:r w:rsidRPr="00CB0B36">
        <w:rPr>
          <w:rFonts w:ascii="Tahoma" w:hAnsi="Tahoma" w:cs="Tahoma"/>
          <w:b/>
          <w:sz w:val="22"/>
          <w:szCs w:val="22"/>
        </w:rPr>
        <w:t>Visto</w:t>
      </w:r>
      <w:r w:rsidRPr="00CB0B36">
        <w:rPr>
          <w:rFonts w:ascii="Tahoma" w:hAnsi="Tahoma" w:cs="Tahoma"/>
          <w:sz w:val="22"/>
          <w:szCs w:val="22"/>
        </w:rPr>
        <w:t xml:space="preserve"> en sesión de fecha </w:t>
      </w:r>
      <w:r>
        <w:rPr>
          <w:rFonts w:ascii="Tahoma" w:hAnsi="Tahoma" w:cs="Tahoma"/>
          <w:sz w:val="22"/>
          <w:szCs w:val="22"/>
        </w:rPr>
        <w:t>04 de marzo de 2011</w:t>
      </w:r>
      <w:r w:rsidRPr="00CB0B36">
        <w:rPr>
          <w:rFonts w:ascii="Tahoma" w:hAnsi="Tahoma" w:cs="Tahoma"/>
          <w:sz w:val="22"/>
          <w:szCs w:val="22"/>
        </w:rPr>
        <w:t xml:space="preserve"> de la Primera Sala del Tribunal de Contrataciones del Estado el Expediente N° </w:t>
      </w:r>
      <w:r>
        <w:rPr>
          <w:rFonts w:ascii="Tahoma" w:hAnsi="Tahoma" w:cs="Tahoma"/>
          <w:sz w:val="22"/>
          <w:szCs w:val="22"/>
        </w:rPr>
        <w:t>053.2011</w:t>
      </w:r>
      <w:r w:rsidRPr="00CB0B36">
        <w:rPr>
          <w:rFonts w:ascii="Tahoma" w:hAnsi="Tahoma" w:cs="Tahoma"/>
          <w:sz w:val="22"/>
          <w:szCs w:val="22"/>
        </w:rPr>
        <w:t>.T</w:t>
      </w:r>
      <w:r>
        <w:rPr>
          <w:rFonts w:ascii="Tahoma" w:hAnsi="Tahoma" w:cs="Tahoma"/>
          <w:sz w:val="22"/>
          <w:szCs w:val="22"/>
        </w:rPr>
        <w:t>C, sobre el recurso de apelación</w:t>
      </w:r>
      <w:r w:rsidRPr="00CB0B36">
        <w:rPr>
          <w:rFonts w:ascii="Tahoma" w:hAnsi="Tahoma" w:cs="Tahoma"/>
          <w:sz w:val="22"/>
          <w:szCs w:val="22"/>
        </w:rPr>
        <w:t xml:space="preserve"> interpuesto por la empresa </w:t>
      </w:r>
      <w:r w:rsidRPr="006E2E42">
        <w:rPr>
          <w:rFonts w:ascii="Tahoma" w:hAnsi="Tahoma" w:cs="Tahoma"/>
          <w:sz w:val="22"/>
          <w:szCs w:val="22"/>
        </w:rPr>
        <w:t>Diebold Perú S.R.L.</w:t>
      </w:r>
      <w:r w:rsidRPr="00CB0B36">
        <w:rPr>
          <w:rFonts w:ascii="Tahoma" w:hAnsi="Tahoma" w:cs="Tahoma"/>
          <w:color w:val="000000"/>
          <w:sz w:val="22"/>
          <w:szCs w:val="22"/>
        </w:rPr>
        <w:t xml:space="preserve">, </w:t>
      </w:r>
      <w:r w:rsidRPr="006E2E42">
        <w:rPr>
          <w:rFonts w:ascii="Tahoma" w:hAnsi="Tahoma" w:cs="Tahoma"/>
          <w:sz w:val="22"/>
          <w:szCs w:val="22"/>
        </w:rPr>
        <w:t>contra el acto por el cual el Comité Especial no admitió su propuesta económica en los ítems 1 y 2 de la Licit</w:t>
      </w:r>
      <w:r>
        <w:rPr>
          <w:rFonts w:ascii="Tahoma" w:hAnsi="Tahoma" w:cs="Tahoma"/>
          <w:sz w:val="22"/>
          <w:szCs w:val="22"/>
        </w:rPr>
        <w:t>ación Pública Nº 0011-2010-BN, declarando</w:t>
      </w:r>
      <w:r w:rsidRPr="006E2E42">
        <w:rPr>
          <w:rFonts w:ascii="Tahoma" w:hAnsi="Tahoma" w:cs="Tahoma"/>
          <w:sz w:val="22"/>
          <w:szCs w:val="22"/>
        </w:rPr>
        <w:t xml:space="preserve"> desierto </w:t>
      </w:r>
      <w:r>
        <w:rPr>
          <w:rFonts w:ascii="Tahoma" w:hAnsi="Tahoma" w:cs="Tahoma"/>
          <w:sz w:val="22"/>
          <w:szCs w:val="22"/>
        </w:rPr>
        <w:t>dicho proceso de selección</w:t>
      </w:r>
      <w:r w:rsidRPr="00CB0B36">
        <w:rPr>
          <w:rFonts w:ascii="Tahoma" w:hAnsi="Tahoma" w:cs="Tahoma"/>
          <w:sz w:val="22"/>
          <w:szCs w:val="22"/>
        </w:rPr>
        <w:t>; y atendiendo a los siguientes:</w:t>
      </w:r>
    </w:p>
    <w:p w:rsidR="00F27A35" w:rsidRPr="00CB0B36" w:rsidRDefault="00F27A35" w:rsidP="00F27A35">
      <w:pPr>
        <w:tabs>
          <w:tab w:val="left" w:pos="3544"/>
          <w:tab w:val="left" w:pos="7230"/>
          <w:tab w:val="left" w:pos="8505"/>
        </w:tabs>
        <w:rPr>
          <w:rFonts w:ascii="Tahoma" w:hAnsi="Tahoma" w:cs="Tahoma"/>
          <w:b/>
          <w:sz w:val="22"/>
          <w:szCs w:val="22"/>
        </w:rPr>
      </w:pPr>
    </w:p>
    <w:p w:rsidR="00F27A35" w:rsidRPr="00CB0B36" w:rsidRDefault="00F27A35" w:rsidP="00F27A35">
      <w:pPr>
        <w:pStyle w:val="Prrafodelista"/>
        <w:numPr>
          <w:ilvl w:val="0"/>
          <w:numId w:val="3"/>
        </w:numPr>
        <w:tabs>
          <w:tab w:val="left" w:pos="3544"/>
          <w:tab w:val="left" w:pos="7230"/>
          <w:tab w:val="left" w:pos="8505"/>
        </w:tabs>
        <w:ind w:left="567" w:hanging="425"/>
        <w:jc w:val="both"/>
        <w:rPr>
          <w:rFonts w:ascii="Tahoma" w:hAnsi="Tahoma" w:cs="Tahoma"/>
          <w:b/>
          <w:shadow/>
          <w:sz w:val="22"/>
          <w:szCs w:val="22"/>
        </w:rPr>
      </w:pPr>
      <w:r w:rsidRPr="00CB0B36">
        <w:rPr>
          <w:rFonts w:ascii="Tahoma" w:hAnsi="Tahoma" w:cs="Tahoma"/>
          <w:b/>
          <w:shadow/>
          <w:sz w:val="22"/>
          <w:szCs w:val="22"/>
        </w:rPr>
        <w:t>ANTECEDENTES:</w:t>
      </w:r>
    </w:p>
    <w:p w:rsidR="00F27A35" w:rsidRPr="00CB0B36" w:rsidRDefault="00F27A35" w:rsidP="00F27A35">
      <w:pPr>
        <w:autoSpaceDE w:val="0"/>
        <w:autoSpaceDN w:val="0"/>
        <w:adjustRightInd w:val="0"/>
        <w:jc w:val="both"/>
        <w:rPr>
          <w:rFonts w:ascii="Tahoma" w:hAnsi="Tahoma" w:cs="Tahoma"/>
          <w:b/>
          <w:bCs/>
          <w:sz w:val="22"/>
          <w:szCs w:val="22"/>
        </w:rPr>
      </w:pPr>
    </w:p>
    <w:p w:rsidR="00F27A35" w:rsidRPr="006E2E42" w:rsidRDefault="00F27A35" w:rsidP="00F27A35">
      <w:pPr>
        <w:pStyle w:val="Prrafodelista"/>
        <w:numPr>
          <w:ilvl w:val="0"/>
          <w:numId w:val="9"/>
        </w:numPr>
        <w:ind w:left="567" w:right="175" w:hanging="567"/>
        <w:jc w:val="both"/>
        <w:rPr>
          <w:rFonts w:ascii="Tahoma" w:hAnsi="Tahoma" w:cs="Tahoma"/>
          <w:sz w:val="22"/>
          <w:szCs w:val="22"/>
        </w:rPr>
      </w:pPr>
      <w:r w:rsidRPr="006E2E42">
        <w:rPr>
          <w:rFonts w:ascii="Tahoma" w:hAnsi="Tahoma" w:cs="Tahoma"/>
          <w:sz w:val="22"/>
          <w:szCs w:val="22"/>
        </w:rPr>
        <w:t>El 8 de octubre de 2010, el Banco de la Nación, en adelante la Entidad, convocó la Licitación Pública Nº 0011-2010-BN, por relación de dos ítems, para la “Adquisición de Cajeros Automáticos y Sistema de Video de Grabación Digital”, por un valor referencial equivalente a S/. 6’420,080.00 (Seis millones cuatrocientos veinte mil ochenta con 00/100 Nuevos Soles).</w:t>
      </w:r>
    </w:p>
    <w:p w:rsidR="00F27A35" w:rsidRPr="006E2E42" w:rsidRDefault="00F27A35" w:rsidP="00F27A35">
      <w:pPr>
        <w:pStyle w:val="Prrafodelista"/>
        <w:ind w:left="567"/>
        <w:rPr>
          <w:rFonts w:ascii="Tahoma" w:hAnsi="Tahoma" w:cs="Tahoma"/>
          <w:sz w:val="22"/>
          <w:szCs w:val="22"/>
        </w:rPr>
      </w:pPr>
    </w:p>
    <w:p w:rsidR="00F27A35" w:rsidRPr="006E2E42" w:rsidRDefault="00F27A35" w:rsidP="00F27A35">
      <w:pPr>
        <w:pStyle w:val="Prrafodelista"/>
        <w:numPr>
          <w:ilvl w:val="0"/>
          <w:numId w:val="9"/>
        </w:numPr>
        <w:ind w:left="567" w:right="175" w:hanging="567"/>
        <w:jc w:val="both"/>
        <w:rPr>
          <w:rFonts w:ascii="Tahoma" w:hAnsi="Tahoma" w:cs="Tahoma"/>
          <w:sz w:val="22"/>
          <w:szCs w:val="22"/>
        </w:rPr>
      </w:pPr>
      <w:r w:rsidRPr="006E2E42">
        <w:rPr>
          <w:rFonts w:ascii="Tahoma" w:hAnsi="Tahoma" w:cs="Tahoma"/>
          <w:sz w:val="22"/>
          <w:szCs w:val="22"/>
        </w:rPr>
        <w:t>El 28 de diciembre de 2010, se llevó a cabo la presentación de propuestas, contando con la participación de los postores Diebold Perú S.R.L. y NCR del Perú S.A. en el ítem 1, y de Diebold Perú S.R.L. en el ítem 2.</w:t>
      </w:r>
    </w:p>
    <w:p w:rsidR="00F27A35" w:rsidRPr="006E2E42" w:rsidRDefault="00F27A35" w:rsidP="00F27A35">
      <w:pPr>
        <w:pStyle w:val="Prrafodelista"/>
        <w:ind w:left="567"/>
        <w:rPr>
          <w:rFonts w:ascii="Tahoma" w:hAnsi="Tahoma" w:cs="Tahoma"/>
          <w:sz w:val="22"/>
          <w:szCs w:val="22"/>
        </w:rPr>
      </w:pPr>
    </w:p>
    <w:p w:rsidR="00F27A35" w:rsidRPr="006E2E42" w:rsidRDefault="00F27A35" w:rsidP="00F27A35">
      <w:pPr>
        <w:pStyle w:val="Prrafodelista"/>
        <w:numPr>
          <w:ilvl w:val="0"/>
          <w:numId w:val="9"/>
        </w:numPr>
        <w:ind w:left="567" w:right="175" w:hanging="567"/>
        <w:jc w:val="both"/>
        <w:rPr>
          <w:rFonts w:ascii="Tahoma" w:hAnsi="Tahoma" w:cs="Tahoma"/>
          <w:sz w:val="22"/>
          <w:szCs w:val="22"/>
        </w:rPr>
      </w:pPr>
      <w:r w:rsidRPr="006E2E42">
        <w:rPr>
          <w:rFonts w:ascii="Tahoma" w:hAnsi="Tahoma" w:cs="Tahoma"/>
          <w:sz w:val="22"/>
          <w:szCs w:val="22"/>
        </w:rPr>
        <w:t>El 3 de enero de 2011, el Comité Especial declaró desierto el proceso de selección en los dos ítems convocados, al verificar la invalidez de las propuestas presentadas.</w:t>
      </w:r>
    </w:p>
    <w:p w:rsidR="00F27A35" w:rsidRPr="006E2E42" w:rsidRDefault="00F27A35" w:rsidP="00F27A35">
      <w:pPr>
        <w:pStyle w:val="Prrafodelista"/>
        <w:ind w:left="567"/>
        <w:rPr>
          <w:rFonts w:ascii="Tahoma" w:hAnsi="Tahoma" w:cs="Tahoma"/>
          <w:sz w:val="22"/>
          <w:szCs w:val="22"/>
        </w:rPr>
      </w:pPr>
    </w:p>
    <w:p w:rsidR="00F27A35" w:rsidRPr="006E2E42" w:rsidRDefault="00F27A35" w:rsidP="00F27A35">
      <w:pPr>
        <w:pStyle w:val="Prrafodelista"/>
        <w:numPr>
          <w:ilvl w:val="0"/>
          <w:numId w:val="9"/>
        </w:numPr>
        <w:ind w:left="567" w:right="175" w:hanging="567"/>
        <w:jc w:val="both"/>
        <w:rPr>
          <w:rFonts w:ascii="Tahoma" w:hAnsi="Tahoma" w:cs="Tahoma"/>
          <w:sz w:val="22"/>
          <w:szCs w:val="22"/>
        </w:rPr>
      </w:pPr>
      <w:r w:rsidRPr="006E2E42">
        <w:rPr>
          <w:rFonts w:ascii="Tahoma" w:hAnsi="Tahoma" w:cs="Tahoma"/>
          <w:sz w:val="22"/>
          <w:szCs w:val="22"/>
        </w:rPr>
        <w:t>Con Escrito Nº 01 presentado el 12 de enero de 2011, subsanado con Escrito Nº 02 del 14 de enero de 2011, la empresa Diebold Perú S.R.L., en lo sucesivo el Impugnante, interpuso recurso de apelación contra el acto por el cual el Comité Especial no admitió su propuesta económica en los ítems 1 y 2 de la Licitación Pública Nº 0011-2010-BN y declaró desierto el proceso de selección.  Ello, en razón a los siguientes fundamentos:</w:t>
      </w:r>
    </w:p>
    <w:p w:rsidR="00F27A35" w:rsidRPr="006E2E42" w:rsidRDefault="00F27A35" w:rsidP="00F27A35">
      <w:pPr>
        <w:pStyle w:val="Prrafodelista"/>
        <w:ind w:left="567"/>
        <w:jc w:val="both"/>
        <w:rPr>
          <w:rFonts w:ascii="Tahoma" w:hAnsi="Tahoma" w:cs="Tahoma"/>
          <w:sz w:val="22"/>
          <w:szCs w:val="22"/>
        </w:rPr>
      </w:pPr>
    </w:p>
    <w:p w:rsidR="00F27A35" w:rsidRPr="006E2E42" w:rsidRDefault="00F27A35" w:rsidP="00F27A35">
      <w:pPr>
        <w:pStyle w:val="Prrafodelista"/>
        <w:numPr>
          <w:ilvl w:val="0"/>
          <w:numId w:val="10"/>
        </w:numPr>
        <w:ind w:left="1418" w:hanging="491"/>
        <w:jc w:val="both"/>
        <w:rPr>
          <w:rFonts w:ascii="Tahoma" w:hAnsi="Tahoma" w:cs="Tahoma"/>
          <w:sz w:val="22"/>
          <w:szCs w:val="22"/>
        </w:rPr>
      </w:pPr>
      <w:r w:rsidRPr="006E2E42">
        <w:rPr>
          <w:rFonts w:ascii="Tahoma" w:hAnsi="Tahoma" w:cs="Tahoma"/>
          <w:sz w:val="22"/>
          <w:szCs w:val="22"/>
        </w:rPr>
        <w:lastRenderedPageBreak/>
        <w:t>El Comité Especial no había admitido su propuesta económica en razón a que del texto de sus cartas fianzas para garantizar su oferta, sólo se consignaba “garantía de oferta” y no “garantía de seriedad de oferta”, lo cual según dicho órgano colegiado no podía ser subsanado.</w:t>
      </w:r>
    </w:p>
    <w:p w:rsidR="00F27A35" w:rsidRPr="006E2E42" w:rsidRDefault="00F27A35" w:rsidP="00F27A35">
      <w:pPr>
        <w:pStyle w:val="Prrafodelista"/>
        <w:ind w:left="1418"/>
        <w:jc w:val="both"/>
        <w:rPr>
          <w:rFonts w:ascii="Tahoma" w:hAnsi="Tahoma" w:cs="Tahoma"/>
          <w:sz w:val="22"/>
          <w:szCs w:val="22"/>
        </w:rPr>
      </w:pPr>
    </w:p>
    <w:p w:rsidR="00F27A35" w:rsidRPr="006E2E42" w:rsidRDefault="00F27A35" w:rsidP="00F27A35">
      <w:pPr>
        <w:pStyle w:val="Prrafodelista"/>
        <w:numPr>
          <w:ilvl w:val="0"/>
          <w:numId w:val="10"/>
        </w:numPr>
        <w:ind w:left="1418" w:hanging="491"/>
        <w:jc w:val="both"/>
        <w:rPr>
          <w:rFonts w:ascii="Tahoma" w:hAnsi="Tahoma" w:cs="Tahoma"/>
          <w:sz w:val="22"/>
          <w:szCs w:val="22"/>
        </w:rPr>
      </w:pPr>
      <w:r w:rsidRPr="006E2E42">
        <w:rPr>
          <w:rFonts w:ascii="Tahoma" w:hAnsi="Tahoma" w:cs="Tahoma"/>
          <w:sz w:val="22"/>
          <w:szCs w:val="22"/>
        </w:rPr>
        <w:t>Si bien era cierto que en las cartas fianzas en cuestión sólo aparecían el término “garantía de oferta”, omitiéndose de manera involuntaria el término “seriedad”; el razonamiento seguido por el Comité Especial para desestimar la propuesta del Impugnante resultaba incorrecta e ilegal, pues el hecho que la garantía de seriedad de oferta acompañe a la propuesta económica, no significaba que dicha garantía constituya propiamente la oferta económica y, por tanto, que no pueda ser subsanada cuando en su emisión se haya incurrido en errores o defectos que no afecten de manera sustancial su objetivo.</w:t>
      </w:r>
    </w:p>
    <w:p w:rsidR="00F27A35" w:rsidRPr="006E2E42" w:rsidRDefault="00F27A35" w:rsidP="00F27A35">
      <w:pPr>
        <w:pStyle w:val="Prrafodelista"/>
        <w:ind w:left="1418"/>
        <w:jc w:val="both"/>
        <w:rPr>
          <w:rFonts w:ascii="Tahoma" w:hAnsi="Tahoma" w:cs="Tahoma"/>
          <w:sz w:val="22"/>
          <w:szCs w:val="22"/>
        </w:rPr>
      </w:pPr>
    </w:p>
    <w:p w:rsidR="00F27A35" w:rsidRPr="006E2E42" w:rsidRDefault="00F27A35" w:rsidP="00F27A35">
      <w:pPr>
        <w:pStyle w:val="Prrafodelista"/>
        <w:numPr>
          <w:ilvl w:val="0"/>
          <w:numId w:val="10"/>
        </w:numPr>
        <w:ind w:left="1418" w:hanging="491"/>
        <w:jc w:val="both"/>
        <w:rPr>
          <w:rFonts w:ascii="Tahoma" w:hAnsi="Tahoma" w:cs="Tahoma"/>
          <w:sz w:val="22"/>
          <w:szCs w:val="22"/>
        </w:rPr>
      </w:pPr>
      <w:r w:rsidRPr="006E2E42">
        <w:rPr>
          <w:rFonts w:ascii="Tahoma" w:hAnsi="Tahoma" w:cs="Tahoma"/>
          <w:sz w:val="22"/>
          <w:szCs w:val="22"/>
        </w:rPr>
        <w:t>Lo anterior, ya era un criterio establecido por el Tribunal en su Resolución Nº 2118-2009-TC-S2 del 30 de setiembre de 2009, según el cual, entre otros, se desarrollaba lo siguiente:</w:t>
      </w:r>
    </w:p>
    <w:p w:rsidR="00F27A35" w:rsidRDefault="00F27A35" w:rsidP="00F27A35">
      <w:pPr>
        <w:pStyle w:val="Prrafodelista"/>
        <w:rPr>
          <w:rFonts w:ascii="Tahoma" w:hAnsi="Tahoma" w:cs="Tahoma"/>
          <w:sz w:val="22"/>
          <w:szCs w:val="22"/>
        </w:rPr>
      </w:pPr>
    </w:p>
    <w:p w:rsidR="00F27A35" w:rsidRPr="0035403E" w:rsidRDefault="00F27A35" w:rsidP="00F27A35">
      <w:pPr>
        <w:pStyle w:val="Prrafodelista"/>
        <w:ind w:left="1701"/>
        <w:jc w:val="both"/>
        <w:rPr>
          <w:rFonts w:ascii="Tahoma" w:hAnsi="Tahoma" w:cs="Tahoma"/>
          <w:i/>
          <w:sz w:val="18"/>
          <w:szCs w:val="18"/>
        </w:rPr>
      </w:pPr>
      <w:r w:rsidRPr="0035403E">
        <w:rPr>
          <w:rFonts w:ascii="Tahoma" w:hAnsi="Tahoma" w:cs="Tahoma"/>
          <w:i/>
          <w:sz w:val="18"/>
          <w:szCs w:val="18"/>
        </w:rPr>
        <w:t>“En ese sentido, debe entenderse que cuando el artículo 68 del Reglamento expresa que no cabe subsanación alguna por omisiones o errores en la propuesta económica, dicho dispositivo está haciendo mención a la oferta económica strictu sensu, la misma que sólo podrá ser modificada por el Comité Especial dentro del alcance dispuesto en el inciso 5) del artículo 71.</w:t>
      </w:r>
    </w:p>
    <w:p w:rsidR="00F27A35" w:rsidRPr="0035403E" w:rsidRDefault="00F27A35" w:rsidP="00F27A35">
      <w:pPr>
        <w:pStyle w:val="Prrafodelista"/>
        <w:ind w:left="1701"/>
        <w:jc w:val="both"/>
        <w:rPr>
          <w:rFonts w:ascii="Tahoma" w:hAnsi="Tahoma" w:cs="Tahoma"/>
          <w:i/>
          <w:sz w:val="18"/>
          <w:szCs w:val="18"/>
        </w:rPr>
      </w:pPr>
    </w:p>
    <w:p w:rsidR="00F27A35" w:rsidRPr="0035403E" w:rsidRDefault="00F27A35" w:rsidP="00F27A35">
      <w:pPr>
        <w:ind w:left="1701"/>
        <w:contextualSpacing/>
        <w:jc w:val="both"/>
        <w:rPr>
          <w:rFonts w:ascii="Tahoma" w:hAnsi="Tahoma" w:cs="Tahoma"/>
          <w:i/>
          <w:sz w:val="18"/>
          <w:szCs w:val="18"/>
          <w:lang w:eastAsia="es-PE"/>
        </w:rPr>
      </w:pPr>
      <w:r w:rsidRPr="0035403E">
        <w:rPr>
          <w:rFonts w:ascii="Tahoma" w:hAnsi="Tahoma" w:cs="Tahoma"/>
          <w:i/>
          <w:sz w:val="18"/>
          <w:szCs w:val="18"/>
          <w:lang w:eastAsia="es-PE"/>
        </w:rPr>
        <w:t xml:space="preserve">Asimismo, como se ha indicado anteriormente, la Garantía de Seriedad de la Oferta tiene por objetivo el aseguramiento de la seriedad de las propuestas presentadas en el proceso y no constituye un fin en sí misma del proceso de selección. </w:t>
      </w:r>
    </w:p>
    <w:p w:rsidR="00F27A35" w:rsidRPr="0035403E" w:rsidRDefault="00F27A35" w:rsidP="00F27A35">
      <w:pPr>
        <w:ind w:left="1701"/>
        <w:contextualSpacing/>
        <w:jc w:val="both"/>
        <w:rPr>
          <w:rFonts w:ascii="Tahoma" w:hAnsi="Tahoma" w:cs="Tahoma"/>
          <w:i/>
          <w:sz w:val="18"/>
          <w:szCs w:val="18"/>
          <w:lang w:eastAsia="es-PE"/>
        </w:rPr>
      </w:pPr>
    </w:p>
    <w:p w:rsidR="00F27A35" w:rsidRPr="0035403E" w:rsidRDefault="00F27A35" w:rsidP="00F27A35">
      <w:pPr>
        <w:ind w:left="1701"/>
        <w:contextualSpacing/>
        <w:jc w:val="both"/>
        <w:rPr>
          <w:rFonts w:ascii="Tahoma" w:hAnsi="Tahoma" w:cs="Tahoma"/>
          <w:i/>
          <w:sz w:val="18"/>
          <w:szCs w:val="18"/>
          <w:lang w:eastAsia="es-PE"/>
        </w:rPr>
      </w:pPr>
      <w:r w:rsidRPr="0035403E">
        <w:rPr>
          <w:rFonts w:ascii="Tahoma" w:hAnsi="Tahoma" w:cs="Tahoma"/>
          <w:i/>
          <w:sz w:val="18"/>
          <w:szCs w:val="18"/>
          <w:lang w:eastAsia="es-PE"/>
        </w:rPr>
        <w:t>De lo anterior, se puede deducir que:</w:t>
      </w:r>
    </w:p>
    <w:p w:rsidR="00F27A35" w:rsidRPr="0035403E" w:rsidRDefault="00F27A35" w:rsidP="00F27A35">
      <w:pPr>
        <w:ind w:left="1701"/>
        <w:rPr>
          <w:rFonts w:ascii="Tahoma" w:hAnsi="Tahoma" w:cs="Tahoma"/>
          <w:i/>
          <w:sz w:val="18"/>
          <w:szCs w:val="18"/>
          <w:lang w:eastAsia="es-PE"/>
        </w:rPr>
      </w:pPr>
    </w:p>
    <w:p w:rsidR="00F27A35" w:rsidRPr="0035403E" w:rsidRDefault="00F27A35" w:rsidP="00F27A35">
      <w:pPr>
        <w:numPr>
          <w:ilvl w:val="0"/>
          <w:numId w:val="11"/>
        </w:numPr>
        <w:ind w:left="1985" w:hanging="284"/>
        <w:contextualSpacing/>
        <w:jc w:val="both"/>
        <w:rPr>
          <w:rFonts w:ascii="Tahoma" w:hAnsi="Tahoma" w:cs="Tahoma"/>
          <w:i/>
          <w:sz w:val="18"/>
          <w:szCs w:val="18"/>
          <w:lang w:eastAsia="es-PE"/>
        </w:rPr>
      </w:pPr>
      <w:r w:rsidRPr="0035403E">
        <w:rPr>
          <w:rFonts w:ascii="Tahoma" w:hAnsi="Tahoma" w:cs="Tahoma"/>
          <w:i/>
          <w:sz w:val="18"/>
          <w:szCs w:val="18"/>
          <w:lang w:eastAsia="es-PE"/>
        </w:rPr>
        <w:t>La Garantía de Seriedad de la Oferta es un documento emitido por una empresa perteneciente al ámbito de supervisión de la Superintendencia de banca, Seguros y Administradoras Privadas de Fondos de Pensiones o considerada en la lista actualizada de bancos extranjeros de primera categoría que periódicamente publica el Banco Central de Reserva  del Perú.</w:t>
      </w:r>
    </w:p>
    <w:p w:rsidR="00F27A35" w:rsidRPr="0035403E" w:rsidRDefault="00F27A35" w:rsidP="00F27A35">
      <w:pPr>
        <w:ind w:left="1985"/>
        <w:contextualSpacing/>
        <w:jc w:val="both"/>
        <w:rPr>
          <w:rFonts w:ascii="Tahoma" w:hAnsi="Tahoma" w:cs="Tahoma"/>
          <w:i/>
          <w:sz w:val="18"/>
          <w:szCs w:val="18"/>
          <w:lang w:eastAsia="es-PE"/>
        </w:rPr>
      </w:pPr>
    </w:p>
    <w:p w:rsidR="00F27A35" w:rsidRPr="0035403E" w:rsidRDefault="00F27A35" w:rsidP="00F27A35">
      <w:pPr>
        <w:numPr>
          <w:ilvl w:val="0"/>
          <w:numId w:val="11"/>
        </w:numPr>
        <w:ind w:left="1985" w:hanging="284"/>
        <w:contextualSpacing/>
        <w:jc w:val="both"/>
        <w:rPr>
          <w:rFonts w:ascii="Tahoma" w:hAnsi="Tahoma" w:cs="Tahoma"/>
          <w:i/>
          <w:sz w:val="18"/>
          <w:szCs w:val="18"/>
          <w:lang w:eastAsia="es-PE"/>
        </w:rPr>
      </w:pPr>
      <w:r w:rsidRPr="0035403E">
        <w:rPr>
          <w:rFonts w:ascii="Tahoma" w:hAnsi="Tahoma" w:cs="Tahoma"/>
          <w:i/>
          <w:sz w:val="18"/>
          <w:szCs w:val="18"/>
          <w:lang w:eastAsia="es-PE"/>
        </w:rPr>
        <w:t xml:space="preserve">La Garantía de Seriedad de la Oferta, aunque forma parte de la propuesta económica, </w:t>
      </w:r>
      <w:r w:rsidRPr="0035403E">
        <w:rPr>
          <w:rFonts w:ascii="Tahoma" w:hAnsi="Tahoma" w:cs="Tahoma"/>
          <w:i/>
          <w:sz w:val="18"/>
          <w:szCs w:val="18"/>
          <w:u w:val="single"/>
          <w:lang w:eastAsia="es-PE"/>
        </w:rPr>
        <w:t>no constituye parte propiamente de la oferta económica o el detalle de precios unitarios cuando este sistema haya sido establecido en las Bases</w:t>
      </w:r>
      <w:r w:rsidRPr="0035403E">
        <w:rPr>
          <w:rFonts w:ascii="Tahoma" w:hAnsi="Tahoma" w:cs="Tahoma"/>
          <w:i/>
          <w:sz w:val="18"/>
          <w:szCs w:val="18"/>
          <w:lang w:eastAsia="es-PE"/>
        </w:rPr>
        <w:t>. Se trata, en este caso, de un documento accesorio (aunque indispensable) de la propuesta presentada, en un sentido integral, propuesta que resulta ser la obligación principal que resguarda esta garantía.</w:t>
      </w:r>
    </w:p>
    <w:p w:rsidR="00F27A35" w:rsidRPr="0035403E" w:rsidRDefault="00F27A35" w:rsidP="00F27A35">
      <w:pPr>
        <w:pStyle w:val="Prrafodelista"/>
        <w:ind w:left="1701"/>
        <w:rPr>
          <w:rFonts w:ascii="Tahoma" w:hAnsi="Tahoma" w:cs="Tahoma"/>
          <w:i/>
          <w:sz w:val="18"/>
          <w:szCs w:val="18"/>
        </w:rPr>
      </w:pPr>
    </w:p>
    <w:p w:rsidR="00F27A35" w:rsidRPr="0035403E" w:rsidRDefault="00F27A35" w:rsidP="00F27A35">
      <w:pPr>
        <w:pStyle w:val="Prrafodelista"/>
        <w:ind w:left="1701"/>
        <w:contextualSpacing/>
        <w:jc w:val="both"/>
        <w:rPr>
          <w:rFonts w:ascii="Tahoma" w:hAnsi="Tahoma" w:cs="Tahoma"/>
          <w:i/>
          <w:sz w:val="18"/>
          <w:szCs w:val="18"/>
        </w:rPr>
      </w:pPr>
      <w:r w:rsidRPr="0035403E">
        <w:rPr>
          <w:rFonts w:ascii="Tahoma" w:hAnsi="Tahoma" w:cs="Tahoma"/>
          <w:i/>
          <w:sz w:val="18"/>
          <w:szCs w:val="18"/>
        </w:rPr>
        <w:t>En esa medida, puede concluirse que la Garantía de Seriedad de la Oferta, sin dejar de ser un requisito indispensable, resulta ser subsanable cuando en su emisión se haya incurrido en errores o defectos que no afecten de manera sustancial su objetivo y que hayan sido advertidos por el Comité Especial, pudiendo este órgano solicitar su subsanación (…)”.</w:t>
      </w:r>
    </w:p>
    <w:p w:rsidR="00F27A35" w:rsidRPr="00920B1F" w:rsidRDefault="00F27A35" w:rsidP="00F27A35">
      <w:pPr>
        <w:pStyle w:val="Prrafodelista"/>
        <w:ind w:left="1418"/>
        <w:contextualSpacing/>
        <w:jc w:val="both"/>
        <w:rPr>
          <w:rFonts w:ascii="Tahoma" w:hAnsi="Tahoma" w:cs="Tahoma"/>
          <w:sz w:val="22"/>
          <w:szCs w:val="22"/>
        </w:rPr>
      </w:pPr>
    </w:p>
    <w:p w:rsidR="00F27A35" w:rsidRPr="006E2E42" w:rsidRDefault="00F27A35" w:rsidP="00F27A35">
      <w:pPr>
        <w:pStyle w:val="Prrafodelista"/>
        <w:numPr>
          <w:ilvl w:val="0"/>
          <w:numId w:val="10"/>
        </w:numPr>
        <w:ind w:left="1418" w:hanging="491"/>
        <w:jc w:val="both"/>
        <w:rPr>
          <w:rFonts w:ascii="Tahoma" w:hAnsi="Tahoma" w:cs="Tahoma"/>
          <w:sz w:val="22"/>
          <w:szCs w:val="22"/>
        </w:rPr>
      </w:pPr>
      <w:r w:rsidRPr="006E2E42">
        <w:rPr>
          <w:rFonts w:ascii="Tahoma" w:hAnsi="Tahoma" w:cs="Tahoma"/>
          <w:sz w:val="22"/>
          <w:szCs w:val="22"/>
        </w:rPr>
        <w:lastRenderedPageBreak/>
        <w:t>Bajo el criterio jurisprudencial arriba anotado, quedaba claro que las cartas fianzas del Impugnante podían ser subsanadas ante la omisión involuntaria consistente en consignar en dichos documentos el término “seriedad” en lugar de solamente “garantía de oferta”, razón por la cual el Comité Especial debió solicitar su subsanación dentro del plazo de ley.</w:t>
      </w:r>
    </w:p>
    <w:p w:rsidR="00F27A35" w:rsidRPr="006E2E42" w:rsidRDefault="00F27A35" w:rsidP="00F27A35">
      <w:pPr>
        <w:pStyle w:val="Prrafodelista"/>
        <w:ind w:left="1418"/>
        <w:jc w:val="both"/>
        <w:rPr>
          <w:rFonts w:ascii="Tahoma" w:hAnsi="Tahoma" w:cs="Tahoma"/>
          <w:sz w:val="22"/>
          <w:szCs w:val="22"/>
        </w:rPr>
      </w:pPr>
    </w:p>
    <w:p w:rsidR="00F27A35" w:rsidRPr="006E2E42" w:rsidRDefault="00F27A35" w:rsidP="00F27A35">
      <w:pPr>
        <w:pStyle w:val="Prrafodelista"/>
        <w:numPr>
          <w:ilvl w:val="0"/>
          <w:numId w:val="10"/>
        </w:numPr>
        <w:ind w:left="1418" w:hanging="491"/>
        <w:jc w:val="both"/>
        <w:rPr>
          <w:rFonts w:ascii="Tahoma" w:hAnsi="Tahoma" w:cs="Tahoma"/>
          <w:sz w:val="22"/>
          <w:szCs w:val="22"/>
        </w:rPr>
      </w:pPr>
      <w:r w:rsidRPr="006E2E42">
        <w:rPr>
          <w:rFonts w:ascii="Tahoma" w:hAnsi="Tahoma" w:cs="Tahoma"/>
          <w:sz w:val="22"/>
          <w:szCs w:val="22"/>
        </w:rPr>
        <w:t>Sin perjuicio de lo anterior, y a fin que pueda apreciarse la validez, eficacia y ejecutabilidad de las cartas fianzas del Impugnante, se presentaba una carta emitida por la entidad bancaria emisora de las aludidas cartas fianzas, en la que además de ratificar la validez de las cartas fianzas que obraban en poder de la Entidad, se expedía unas nuevas cartas fianzas como garantías de seriedad de oferta a favor de la Entidad, bajo las mismas condiciones y exigencias requeridas en las Bases.</w:t>
      </w:r>
    </w:p>
    <w:p w:rsidR="00F27A35" w:rsidRPr="006E2E42" w:rsidRDefault="00F27A35" w:rsidP="00F27A35">
      <w:pPr>
        <w:pStyle w:val="Prrafodelista"/>
        <w:ind w:left="1418"/>
        <w:jc w:val="both"/>
        <w:rPr>
          <w:rFonts w:ascii="Tahoma" w:hAnsi="Tahoma" w:cs="Tahoma"/>
          <w:sz w:val="22"/>
          <w:szCs w:val="22"/>
        </w:rPr>
      </w:pPr>
    </w:p>
    <w:p w:rsidR="00F27A35" w:rsidRPr="006E2E42" w:rsidRDefault="00F27A35" w:rsidP="00F27A35">
      <w:pPr>
        <w:pStyle w:val="Prrafodelista"/>
        <w:numPr>
          <w:ilvl w:val="0"/>
          <w:numId w:val="10"/>
        </w:numPr>
        <w:ind w:left="1418" w:hanging="491"/>
        <w:jc w:val="both"/>
        <w:rPr>
          <w:rFonts w:ascii="Tahoma" w:hAnsi="Tahoma" w:cs="Tahoma"/>
          <w:sz w:val="22"/>
          <w:szCs w:val="22"/>
        </w:rPr>
      </w:pPr>
      <w:r w:rsidRPr="006E2E42">
        <w:rPr>
          <w:rFonts w:ascii="Tahoma" w:hAnsi="Tahoma" w:cs="Tahoma"/>
          <w:sz w:val="22"/>
          <w:szCs w:val="22"/>
        </w:rPr>
        <w:t>En ese sentido, el Tribunal debía revocar la decisión del Comité Especial de declarar desierto el proceso de selección, pues incurrió en un error al no admitir la propuesta económica del Impugnante y, en consecuencia, debía otorgarse a su favor el otorgamiento de la Buena Pro al haber cumplido con todas las formalidades exigidas en las Bases en cuanto a su propuesta técnica y económica.</w:t>
      </w:r>
    </w:p>
    <w:p w:rsidR="00F27A35" w:rsidRPr="006E2E42" w:rsidRDefault="00F27A35" w:rsidP="00F27A35">
      <w:pPr>
        <w:pStyle w:val="Prrafodelista"/>
        <w:ind w:left="1418"/>
        <w:jc w:val="both"/>
        <w:rPr>
          <w:rFonts w:ascii="Tahoma" w:hAnsi="Tahoma" w:cs="Tahoma"/>
          <w:sz w:val="22"/>
          <w:szCs w:val="22"/>
        </w:rPr>
      </w:pPr>
    </w:p>
    <w:p w:rsidR="00F27A35" w:rsidRPr="006E2E42" w:rsidRDefault="00F27A35" w:rsidP="00F27A35">
      <w:pPr>
        <w:pStyle w:val="Prrafodelista"/>
        <w:numPr>
          <w:ilvl w:val="0"/>
          <w:numId w:val="9"/>
        </w:numPr>
        <w:ind w:left="567" w:right="175" w:hanging="567"/>
        <w:jc w:val="both"/>
        <w:rPr>
          <w:rFonts w:ascii="Tahoma" w:hAnsi="Tahoma" w:cs="Tahoma"/>
          <w:sz w:val="22"/>
          <w:szCs w:val="22"/>
        </w:rPr>
      </w:pPr>
      <w:r w:rsidRPr="006E2E42">
        <w:rPr>
          <w:rFonts w:ascii="Tahoma" w:hAnsi="Tahoma" w:cs="Tahoma"/>
          <w:color w:val="000000"/>
          <w:sz w:val="22"/>
          <w:szCs w:val="22"/>
        </w:rPr>
        <w:t>Con decreto del 17 de enero del 2011, se admitió a trámite el recurso de apelación presentado por el Impugnante, corriéndose traslado a la Entidad a fin que remita los antecedentes administrativos en los siguientes tres días hábiles de haber sido notificada con dicho decreto.</w:t>
      </w:r>
    </w:p>
    <w:p w:rsidR="00F27A35" w:rsidRPr="006E2E42" w:rsidRDefault="00F27A35" w:rsidP="00F27A35">
      <w:pPr>
        <w:pStyle w:val="Prrafodelista"/>
        <w:ind w:left="567" w:right="175"/>
        <w:jc w:val="both"/>
        <w:rPr>
          <w:rFonts w:ascii="Tahoma" w:hAnsi="Tahoma" w:cs="Tahoma"/>
          <w:sz w:val="22"/>
          <w:szCs w:val="22"/>
        </w:rPr>
      </w:pPr>
    </w:p>
    <w:p w:rsidR="00F27A35" w:rsidRPr="006E2E42" w:rsidRDefault="00F27A35" w:rsidP="00F27A35">
      <w:pPr>
        <w:pStyle w:val="Prrafodelista"/>
        <w:numPr>
          <w:ilvl w:val="0"/>
          <w:numId w:val="9"/>
        </w:numPr>
        <w:ind w:left="567" w:right="175" w:hanging="567"/>
        <w:jc w:val="both"/>
        <w:rPr>
          <w:rFonts w:ascii="Tahoma" w:hAnsi="Tahoma" w:cs="Tahoma"/>
          <w:sz w:val="22"/>
          <w:szCs w:val="22"/>
        </w:rPr>
      </w:pPr>
      <w:r w:rsidRPr="006E2E42">
        <w:rPr>
          <w:rFonts w:ascii="Tahoma" w:hAnsi="Tahoma" w:cs="Tahoma"/>
          <w:sz w:val="22"/>
          <w:szCs w:val="22"/>
        </w:rPr>
        <w:t>Por Escrito Nº 001 del 31 de enero de 2011, la Entidad solicitó que se le conceda un plazo adicional de tres días a fin de presentar los antecedentes administrativos requeridos; pedido al que se accedió mediante decreto de fecha 1 de febrero de 2011.</w:t>
      </w:r>
    </w:p>
    <w:p w:rsidR="00F27A35" w:rsidRPr="006E2E42" w:rsidRDefault="00F27A35" w:rsidP="00F27A35">
      <w:pPr>
        <w:pStyle w:val="Prrafodelista"/>
        <w:ind w:left="567" w:right="175"/>
        <w:jc w:val="both"/>
        <w:rPr>
          <w:rFonts w:ascii="Tahoma" w:hAnsi="Tahoma" w:cs="Tahoma"/>
          <w:sz w:val="22"/>
          <w:szCs w:val="22"/>
        </w:rPr>
      </w:pPr>
    </w:p>
    <w:p w:rsidR="00F27A35" w:rsidRPr="006E2E42" w:rsidRDefault="00F27A35" w:rsidP="00F27A35">
      <w:pPr>
        <w:pStyle w:val="Prrafodelista"/>
        <w:numPr>
          <w:ilvl w:val="0"/>
          <w:numId w:val="9"/>
        </w:numPr>
        <w:ind w:left="567" w:right="175" w:hanging="567"/>
        <w:jc w:val="both"/>
        <w:rPr>
          <w:rFonts w:ascii="Tahoma" w:hAnsi="Tahoma" w:cs="Tahoma"/>
          <w:sz w:val="22"/>
          <w:szCs w:val="22"/>
        </w:rPr>
      </w:pPr>
      <w:r w:rsidRPr="006E2E42">
        <w:rPr>
          <w:rFonts w:ascii="Tahoma" w:hAnsi="Tahoma" w:cs="Tahoma"/>
          <w:sz w:val="22"/>
          <w:szCs w:val="22"/>
        </w:rPr>
        <w:t>El 4 de febrero de 2011, la Entidad cumplió con remitir lo solicitado.  En su informe legal, la Entidad concluyó que el recurso del Impugnante debía ser declarado infundado por los siguientes fundamentos:</w:t>
      </w:r>
    </w:p>
    <w:p w:rsidR="00F27A35" w:rsidRPr="009A4E21" w:rsidRDefault="00F27A35" w:rsidP="00F27A35">
      <w:pPr>
        <w:pStyle w:val="Prrafodelista"/>
        <w:ind w:left="567" w:right="175"/>
        <w:jc w:val="both"/>
        <w:rPr>
          <w:rFonts w:ascii="Tahoma" w:hAnsi="Tahoma" w:cs="Tahoma"/>
          <w:sz w:val="22"/>
          <w:szCs w:val="22"/>
        </w:rPr>
      </w:pPr>
    </w:p>
    <w:p w:rsidR="00F27A35" w:rsidRDefault="00F27A35" w:rsidP="00F27A35">
      <w:pPr>
        <w:pStyle w:val="Prrafodelista"/>
        <w:numPr>
          <w:ilvl w:val="0"/>
          <w:numId w:val="12"/>
        </w:numPr>
        <w:ind w:left="1418" w:right="175" w:hanging="491"/>
        <w:jc w:val="both"/>
        <w:rPr>
          <w:rFonts w:ascii="Tahoma" w:hAnsi="Tahoma" w:cs="Tahoma"/>
          <w:sz w:val="22"/>
          <w:szCs w:val="22"/>
        </w:rPr>
      </w:pPr>
      <w:r>
        <w:rPr>
          <w:rFonts w:ascii="Tahoma" w:hAnsi="Tahoma" w:cs="Tahoma"/>
          <w:sz w:val="22"/>
          <w:szCs w:val="22"/>
        </w:rPr>
        <w:t>Las Bases del proceso de selección establecieron respecto a la propuesta económica la siguiente estructura:</w:t>
      </w:r>
    </w:p>
    <w:p w:rsidR="00F27A35" w:rsidRDefault="00F27A35" w:rsidP="00F27A35">
      <w:pPr>
        <w:pStyle w:val="Prrafodelista"/>
        <w:ind w:left="1418" w:right="175"/>
        <w:jc w:val="both"/>
        <w:rPr>
          <w:rFonts w:ascii="Tahoma" w:hAnsi="Tahoma" w:cs="Tahoma"/>
          <w:sz w:val="22"/>
          <w:szCs w:val="22"/>
        </w:rPr>
      </w:pPr>
    </w:p>
    <w:p w:rsidR="00F27A35" w:rsidRPr="0035403E" w:rsidRDefault="00F27A35" w:rsidP="00F27A35">
      <w:pPr>
        <w:pStyle w:val="WW-Textosinformato"/>
        <w:tabs>
          <w:tab w:val="center" w:pos="567"/>
          <w:tab w:val="left" w:pos="709"/>
          <w:tab w:val="right" w:pos="12221"/>
        </w:tabs>
        <w:ind w:left="1701"/>
        <w:jc w:val="both"/>
        <w:rPr>
          <w:rFonts w:ascii="Tahoma" w:hAnsi="Tahoma" w:cs="Tahoma"/>
          <w:b/>
          <w:i/>
          <w:sz w:val="18"/>
          <w:szCs w:val="18"/>
          <w:lang w:val="es-ES_tradnl"/>
        </w:rPr>
      </w:pPr>
      <w:r w:rsidRPr="0035403E">
        <w:rPr>
          <w:rFonts w:ascii="Tahoma" w:hAnsi="Tahoma" w:cs="Tahoma"/>
          <w:b/>
          <w:i/>
          <w:sz w:val="18"/>
          <w:szCs w:val="18"/>
          <w:lang w:val="es-ES_tradnl"/>
        </w:rPr>
        <w:t>SOBRE N° 2 - PROPUESTA ECONÓMICA (se presentará en original)</w:t>
      </w:r>
    </w:p>
    <w:p w:rsidR="00F27A35" w:rsidRPr="0035403E" w:rsidRDefault="00F27A35" w:rsidP="00F27A35">
      <w:pPr>
        <w:pStyle w:val="WW-Textosinformato"/>
        <w:tabs>
          <w:tab w:val="center" w:pos="567"/>
          <w:tab w:val="center" w:pos="6402"/>
          <w:tab w:val="right" w:pos="10821"/>
        </w:tabs>
        <w:ind w:left="1701"/>
        <w:jc w:val="both"/>
        <w:rPr>
          <w:rFonts w:ascii="Tahoma" w:hAnsi="Tahoma" w:cs="Tahoma"/>
          <w:i/>
          <w:sz w:val="18"/>
          <w:szCs w:val="18"/>
          <w:lang w:val="es-ES"/>
        </w:rPr>
      </w:pPr>
      <w:r w:rsidRPr="0035403E">
        <w:rPr>
          <w:rFonts w:ascii="Tahoma" w:hAnsi="Tahoma" w:cs="Tahoma"/>
          <w:i/>
          <w:sz w:val="18"/>
          <w:szCs w:val="18"/>
          <w:lang w:val="es-ES"/>
        </w:rPr>
        <w:t>El Sobre N° 2 deberá contener la siguiente información obligatoria:</w:t>
      </w:r>
    </w:p>
    <w:p w:rsidR="00F27A35" w:rsidRPr="0035403E" w:rsidRDefault="00F27A35" w:rsidP="00F27A35">
      <w:pPr>
        <w:numPr>
          <w:ilvl w:val="0"/>
          <w:numId w:val="13"/>
        </w:numPr>
        <w:autoSpaceDE w:val="0"/>
        <w:autoSpaceDN w:val="0"/>
        <w:adjustRightInd w:val="0"/>
        <w:ind w:left="1701" w:firstLine="0"/>
        <w:jc w:val="both"/>
        <w:rPr>
          <w:rFonts w:ascii="Tahoma" w:eastAsia="MS Mincho" w:hAnsi="Tahoma" w:cs="Tahoma"/>
          <w:i/>
          <w:sz w:val="18"/>
          <w:szCs w:val="18"/>
        </w:rPr>
      </w:pPr>
      <w:r w:rsidRPr="0035403E">
        <w:rPr>
          <w:rFonts w:ascii="Tahoma" w:eastAsia="MS Mincho" w:hAnsi="Tahoma" w:cs="Tahoma"/>
          <w:i/>
          <w:sz w:val="18"/>
          <w:szCs w:val="18"/>
        </w:rPr>
        <w:t>Oferta económica.  (</w:t>
      </w:r>
      <w:r w:rsidRPr="0035403E">
        <w:rPr>
          <w:rFonts w:ascii="Tahoma" w:eastAsia="MS Mincho" w:hAnsi="Tahoma" w:cs="Tahoma"/>
          <w:b/>
          <w:i/>
          <w:sz w:val="18"/>
          <w:szCs w:val="18"/>
        </w:rPr>
        <w:t>Anexo Nº 07</w:t>
      </w:r>
      <w:r w:rsidRPr="0035403E">
        <w:rPr>
          <w:rFonts w:ascii="Tahoma" w:eastAsia="MS Mincho" w:hAnsi="Tahoma" w:cs="Tahoma"/>
          <w:i/>
          <w:sz w:val="18"/>
          <w:szCs w:val="18"/>
        </w:rPr>
        <w:t>)</w:t>
      </w:r>
    </w:p>
    <w:p w:rsidR="00F27A35" w:rsidRPr="0035403E" w:rsidRDefault="00F27A35" w:rsidP="00F27A35">
      <w:pPr>
        <w:tabs>
          <w:tab w:val="left" w:pos="0"/>
          <w:tab w:val="left" w:pos="1134"/>
        </w:tabs>
        <w:autoSpaceDE w:val="0"/>
        <w:autoSpaceDN w:val="0"/>
        <w:adjustRightInd w:val="0"/>
        <w:ind w:left="1701"/>
        <w:jc w:val="both"/>
        <w:rPr>
          <w:rFonts w:ascii="Tahoma" w:eastAsia="MS Mincho" w:hAnsi="Tahoma" w:cs="Tahoma"/>
          <w:i/>
          <w:sz w:val="18"/>
          <w:szCs w:val="18"/>
        </w:rPr>
      </w:pPr>
      <w:r w:rsidRPr="0035403E">
        <w:rPr>
          <w:rFonts w:ascii="Tahoma" w:eastAsia="MS Mincho" w:hAnsi="Tahoma" w:cs="Tahoma"/>
          <w:i/>
          <w:sz w:val="18"/>
          <w:szCs w:val="18"/>
        </w:rPr>
        <w:t>(…)</w:t>
      </w:r>
    </w:p>
    <w:p w:rsidR="00F27A35" w:rsidRPr="0035403E" w:rsidRDefault="00F27A35" w:rsidP="00F27A35">
      <w:pPr>
        <w:numPr>
          <w:ilvl w:val="0"/>
          <w:numId w:val="13"/>
        </w:numPr>
        <w:ind w:left="1701" w:firstLine="0"/>
        <w:jc w:val="both"/>
        <w:rPr>
          <w:rFonts w:ascii="Tahoma" w:hAnsi="Tahoma" w:cs="Tahoma"/>
          <w:i/>
          <w:sz w:val="18"/>
          <w:szCs w:val="18"/>
        </w:rPr>
      </w:pPr>
      <w:r w:rsidRPr="0035403E">
        <w:rPr>
          <w:rFonts w:ascii="Tahoma" w:hAnsi="Tahoma" w:cs="Tahoma"/>
          <w:i/>
          <w:sz w:val="18"/>
          <w:szCs w:val="18"/>
        </w:rPr>
        <w:t>Garantía de seriedad de oferta (Carta Fianza) por un monto de:</w:t>
      </w:r>
    </w:p>
    <w:p w:rsidR="00F27A35" w:rsidRPr="0035403E" w:rsidRDefault="00F27A35" w:rsidP="00F27A35">
      <w:pPr>
        <w:tabs>
          <w:tab w:val="left" w:pos="0"/>
        </w:tabs>
        <w:ind w:left="1701"/>
        <w:jc w:val="both"/>
        <w:rPr>
          <w:rFonts w:ascii="Tahoma" w:hAnsi="Tahoma" w:cs="Tahoma"/>
          <w:i/>
          <w:sz w:val="18"/>
          <w:szCs w:val="18"/>
        </w:rPr>
      </w:pPr>
      <w:r w:rsidRPr="0035403E">
        <w:rPr>
          <w:rFonts w:ascii="Tahoma" w:hAnsi="Tahoma" w:cs="Tahoma"/>
          <w:i/>
          <w:sz w:val="18"/>
          <w:szCs w:val="18"/>
        </w:rPr>
        <w:t>(…)</w:t>
      </w:r>
    </w:p>
    <w:p w:rsidR="00F27A35" w:rsidRPr="0035403E" w:rsidRDefault="00F27A35" w:rsidP="00F27A35">
      <w:pPr>
        <w:tabs>
          <w:tab w:val="left" w:pos="0"/>
        </w:tabs>
        <w:ind w:left="1701"/>
        <w:jc w:val="both"/>
        <w:rPr>
          <w:rFonts w:ascii="Tahoma" w:hAnsi="Tahoma" w:cs="Tahoma"/>
          <w:i/>
          <w:sz w:val="18"/>
          <w:szCs w:val="18"/>
        </w:rPr>
      </w:pPr>
      <w:r w:rsidRPr="0035403E">
        <w:rPr>
          <w:rFonts w:ascii="Tahoma" w:hAnsi="Tahoma" w:cs="Tahoma"/>
          <w:i/>
          <w:sz w:val="18"/>
          <w:szCs w:val="18"/>
        </w:rPr>
        <w:t>Nota: La Carta Fianza debe señalar expresamente que corresponde a la Garantía de Seriedad de la Oferta, denominación y número del proceso de selección.</w:t>
      </w:r>
    </w:p>
    <w:p w:rsidR="00F27A35" w:rsidRPr="00923D33" w:rsidRDefault="00F27A35" w:rsidP="00F27A35">
      <w:pPr>
        <w:tabs>
          <w:tab w:val="left" w:pos="0"/>
        </w:tabs>
        <w:ind w:left="1418"/>
        <w:jc w:val="both"/>
        <w:rPr>
          <w:rFonts w:ascii="Tahoma" w:hAnsi="Tahoma" w:cs="Tahoma"/>
          <w:sz w:val="22"/>
          <w:szCs w:val="22"/>
        </w:rPr>
      </w:pPr>
    </w:p>
    <w:p w:rsidR="00F27A35" w:rsidRPr="006E2E42" w:rsidRDefault="00F27A35" w:rsidP="00F27A35">
      <w:pPr>
        <w:pStyle w:val="Prrafodelista"/>
        <w:numPr>
          <w:ilvl w:val="0"/>
          <w:numId w:val="12"/>
        </w:numPr>
        <w:ind w:left="1418" w:right="175" w:hanging="491"/>
        <w:jc w:val="both"/>
        <w:rPr>
          <w:rFonts w:ascii="Tahoma" w:hAnsi="Tahoma" w:cs="Tahoma"/>
          <w:sz w:val="22"/>
          <w:szCs w:val="22"/>
        </w:rPr>
      </w:pPr>
      <w:r w:rsidRPr="006E2E42">
        <w:rPr>
          <w:rFonts w:ascii="Tahoma" w:hAnsi="Tahoma" w:cs="Tahoma"/>
          <w:sz w:val="22"/>
          <w:szCs w:val="22"/>
        </w:rPr>
        <w:t>Como es de notar, las Bases del proceso de selección dispusieron de manera clara que la carta fianza que debía presentarse como parte del contenido de la propuesta económica, debía señalar expresamente que ella correspondía a la Seriedad de Oferta.</w:t>
      </w:r>
    </w:p>
    <w:p w:rsidR="00F27A35" w:rsidRPr="006E2E42" w:rsidRDefault="00F27A35" w:rsidP="00F27A35">
      <w:pPr>
        <w:pStyle w:val="Prrafodelista"/>
        <w:ind w:left="1418" w:right="175"/>
        <w:jc w:val="both"/>
        <w:rPr>
          <w:rFonts w:ascii="Tahoma" w:hAnsi="Tahoma" w:cs="Tahoma"/>
          <w:sz w:val="22"/>
          <w:szCs w:val="22"/>
        </w:rPr>
      </w:pPr>
    </w:p>
    <w:p w:rsidR="00F27A35" w:rsidRPr="006E2E42" w:rsidRDefault="00F27A35" w:rsidP="00F27A35">
      <w:pPr>
        <w:pStyle w:val="Prrafodelista"/>
        <w:numPr>
          <w:ilvl w:val="0"/>
          <w:numId w:val="12"/>
        </w:numPr>
        <w:ind w:left="1418" w:right="175" w:hanging="491"/>
        <w:jc w:val="both"/>
        <w:rPr>
          <w:rFonts w:ascii="Tahoma" w:hAnsi="Tahoma" w:cs="Tahoma"/>
          <w:sz w:val="22"/>
          <w:szCs w:val="22"/>
        </w:rPr>
      </w:pPr>
      <w:r w:rsidRPr="006E2E42">
        <w:rPr>
          <w:rFonts w:ascii="Tahoma" w:hAnsi="Tahoma" w:cs="Tahoma"/>
          <w:sz w:val="22"/>
          <w:szCs w:val="22"/>
        </w:rPr>
        <w:t>En concordancia con lo expuesto en las Bases y la decisión tomada por el Comité Especial, el voto singular recaído en la Resolución Nº 2118-2009-TC-S2, emitido por el Vocal Dr. Carlos Augusto Salazar Romero. señalaba respecto a las cartas fianzas en calidad de Garantía de Seriedad de Oferta lo siguiente:</w:t>
      </w:r>
    </w:p>
    <w:p w:rsidR="00F27A35" w:rsidRPr="0035403E" w:rsidRDefault="00F27A35" w:rsidP="00F27A35">
      <w:pPr>
        <w:pStyle w:val="Prrafodelista"/>
        <w:ind w:left="1701" w:right="175"/>
        <w:jc w:val="both"/>
        <w:rPr>
          <w:rFonts w:ascii="Tahoma" w:hAnsi="Tahoma" w:cs="Tahoma"/>
          <w:i/>
          <w:sz w:val="18"/>
          <w:szCs w:val="18"/>
        </w:rPr>
      </w:pPr>
    </w:p>
    <w:p w:rsidR="00F27A35" w:rsidRPr="0035403E" w:rsidRDefault="00F27A35" w:rsidP="00F27A35">
      <w:pPr>
        <w:pStyle w:val="Prrafodelista"/>
        <w:ind w:left="1701" w:right="175"/>
        <w:jc w:val="both"/>
        <w:rPr>
          <w:rFonts w:ascii="Tahoma" w:hAnsi="Tahoma" w:cs="Tahoma"/>
          <w:i/>
          <w:sz w:val="18"/>
          <w:szCs w:val="18"/>
        </w:rPr>
      </w:pPr>
      <w:r w:rsidRPr="0035403E">
        <w:rPr>
          <w:rFonts w:ascii="Tahoma" w:hAnsi="Tahoma" w:cs="Tahoma"/>
          <w:i/>
          <w:sz w:val="18"/>
          <w:szCs w:val="18"/>
        </w:rPr>
        <w:t>[…]</w:t>
      </w:r>
    </w:p>
    <w:p w:rsidR="00F27A35" w:rsidRPr="0035403E" w:rsidRDefault="00F27A35" w:rsidP="00F27A35">
      <w:pPr>
        <w:pStyle w:val="Prrafodelista"/>
        <w:ind w:left="1985" w:right="175" w:hanging="284"/>
        <w:jc w:val="both"/>
        <w:rPr>
          <w:rFonts w:ascii="Tahoma" w:hAnsi="Tahoma" w:cs="Tahoma"/>
          <w:i/>
          <w:sz w:val="18"/>
          <w:szCs w:val="18"/>
        </w:rPr>
      </w:pPr>
      <w:r w:rsidRPr="0035403E">
        <w:rPr>
          <w:rFonts w:ascii="Tahoma" w:hAnsi="Tahoma" w:cs="Tahoma"/>
          <w:i/>
          <w:sz w:val="18"/>
          <w:szCs w:val="18"/>
        </w:rPr>
        <w:t>19.[…] Según el artículo 68º de El Reglamento no cabe subsanación alguna por omisiones o errores en la propuesta económica, salvo defecto de foliación y de rúbrica de cada uno de los folios que componen la oferta, estando a ello, la consecuencia de dicha circunstancia es la descalificación de la propuesta.</w:t>
      </w:r>
    </w:p>
    <w:p w:rsidR="00F27A35" w:rsidRPr="0035403E" w:rsidRDefault="00F27A35" w:rsidP="00F27A35">
      <w:pPr>
        <w:pStyle w:val="Prrafodelista"/>
        <w:ind w:left="1985" w:right="175" w:hanging="284"/>
        <w:jc w:val="both"/>
        <w:rPr>
          <w:rFonts w:ascii="Tahoma" w:hAnsi="Tahoma" w:cs="Tahoma"/>
          <w:i/>
          <w:sz w:val="18"/>
          <w:szCs w:val="18"/>
        </w:rPr>
      </w:pPr>
      <w:r w:rsidRPr="0035403E">
        <w:rPr>
          <w:rFonts w:ascii="Tahoma" w:hAnsi="Tahoma" w:cs="Tahoma"/>
          <w:i/>
          <w:sz w:val="18"/>
          <w:szCs w:val="18"/>
        </w:rPr>
        <w:t>20.Debe tenerse presente, que la forma de presentación de la propuesta, busca una plena vinculación del postor con aquello que oferta, mediante su aceptación y responsabilidad. Consecuentemente, resulta sumamente importante tener en cuenta que la formalidad es un medio que busca mantener la seguridad jurídica y en consecuencia permitir a la Entidad tener la certeza de la voluntad del postor plasmada en las propuestas.</w:t>
      </w:r>
    </w:p>
    <w:p w:rsidR="00F27A35" w:rsidRPr="0035403E" w:rsidRDefault="00F27A35" w:rsidP="00F27A35">
      <w:pPr>
        <w:pStyle w:val="Prrafodelista"/>
        <w:ind w:left="1985" w:right="175" w:hanging="284"/>
        <w:jc w:val="both"/>
        <w:rPr>
          <w:rFonts w:ascii="Tahoma" w:hAnsi="Tahoma" w:cs="Tahoma"/>
          <w:i/>
          <w:sz w:val="18"/>
          <w:szCs w:val="18"/>
        </w:rPr>
      </w:pPr>
      <w:r w:rsidRPr="0035403E">
        <w:rPr>
          <w:rFonts w:ascii="Tahoma" w:hAnsi="Tahoma" w:cs="Tahoma"/>
          <w:i/>
          <w:sz w:val="18"/>
          <w:szCs w:val="18"/>
        </w:rPr>
        <w:t>21.No puede soslayarse el hecho, de que todos los postores aceptaron competir bajo las mismas condiciones y se sometieron a las Bases sin cuestionar las regulaciones que ellas contienen, en particular la referida a la presentación de las cartas fianza; por el contrario, pretender que se varíen las pautas admitidas por todas las partes desde un inicio a través de las Bases, porque una de las reglas afectó a un determinado postor, significa generar inseguridad jurídica y falta de transparencia en los procesos de selección del Estado.</w:t>
      </w:r>
    </w:p>
    <w:p w:rsidR="00F27A35" w:rsidRDefault="00F27A35" w:rsidP="00F27A35">
      <w:pPr>
        <w:pStyle w:val="Prrafodelista"/>
        <w:ind w:left="993"/>
        <w:rPr>
          <w:rFonts w:ascii="Tahoma" w:hAnsi="Tahoma" w:cs="Tahoma"/>
          <w:sz w:val="22"/>
          <w:szCs w:val="22"/>
        </w:rPr>
      </w:pPr>
    </w:p>
    <w:p w:rsidR="00F27A35" w:rsidRPr="006E2E42" w:rsidRDefault="00F27A35" w:rsidP="00F27A35">
      <w:pPr>
        <w:pStyle w:val="Prrafodelista"/>
        <w:numPr>
          <w:ilvl w:val="0"/>
          <w:numId w:val="12"/>
        </w:numPr>
        <w:ind w:left="1418" w:right="175" w:hanging="491"/>
        <w:jc w:val="both"/>
        <w:rPr>
          <w:rFonts w:ascii="Tahoma" w:hAnsi="Tahoma" w:cs="Tahoma"/>
          <w:sz w:val="22"/>
          <w:szCs w:val="22"/>
        </w:rPr>
      </w:pPr>
      <w:r w:rsidRPr="006E2E42">
        <w:rPr>
          <w:rFonts w:ascii="Tahoma" w:hAnsi="Tahoma" w:cs="Tahoma"/>
          <w:sz w:val="22"/>
          <w:szCs w:val="22"/>
        </w:rPr>
        <w:t>Adicionalmente, según reiterados pronunciamientos del Tribunal, la formulación de ofertas era de entera y exclusiva responsabilidad de cada postor, así como las consecuencias de cualquier deficiencia o defecto en su elaboración o en los documentos que a integran, sin que la Entidad se vea perjudicada por su falta de cuidado o diligencia.</w:t>
      </w:r>
    </w:p>
    <w:p w:rsidR="00F27A35" w:rsidRPr="006E2E42" w:rsidRDefault="00F27A35" w:rsidP="00F27A35">
      <w:pPr>
        <w:pStyle w:val="Prrafodelista"/>
        <w:ind w:left="1418" w:right="175"/>
        <w:jc w:val="both"/>
        <w:rPr>
          <w:rFonts w:ascii="Tahoma" w:hAnsi="Tahoma" w:cs="Tahoma"/>
          <w:sz w:val="22"/>
          <w:szCs w:val="22"/>
        </w:rPr>
      </w:pPr>
    </w:p>
    <w:p w:rsidR="00F27A35" w:rsidRPr="006E2E42" w:rsidRDefault="00F27A35" w:rsidP="00F27A35">
      <w:pPr>
        <w:pStyle w:val="Prrafodelista"/>
        <w:ind w:left="1418" w:right="175"/>
        <w:jc w:val="both"/>
        <w:rPr>
          <w:rFonts w:ascii="Tahoma" w:hAnsi="Tahoma" w:cs="Tahoma"/>
          <w:sz w:val="22"/>
          <w:szCs w:val="22"/>
        </w:rPr>
      </w:pPr>
      <w:r w:rsidRPr="006E2E42">
        <w:rPr>
          <w:rFonts w:ascii="Tahoma" w:hAnsi="Tahoma" w:cs="Tahoma"/>
          <w:sz w:val="22"/>
          <w:szCs w:val="22"/>
        </w:rPr>
        <w:t>Asimismo, debía tenerse presente que las autoridades administrativas que tenían a su cargo la conducción de los procesos de selección o que son responsables de emitir acuerdos o resoluciones respecto de ellos, debían asumir conductas y tratamientos que garanticen la mayor imparcialidad y objetividad a los postores participantes, de modo que con sus actuaciones no excedan los límites o facultades que les han sido otorgadas y no se beneficie o perjudique a un postor de manera indebida.</w:t>
      </w:r>
    </w:p>
    <w:p w:rsidR="00F27A35" w:rsidRPr="006E2E42" w:rsidRDefault="00F27A35" w:rsidP="00F27A35">
      <w:pPr>
        <w:pStyle w:val="Prrafodelista"/>
        <w:ind w:left="1418" w:right="175"/>
        <w:jc w:val="both"/>
        <w:rPr>
          <w:rFonts w:ascii="Tahoma" w:hAnsi="Tahoma" w:cs="Tahoma"/>
          <w:sz w:val="22"/>
          <w:szCs w:val="22"/>
        </w:rPr>
      </w:pPr>
    </w:p>
    <w:p w:rsidR="00F27A35" w:rsidRPr="006E2E42" w:rsidRDefault="00F27A35" w:rsidP="00F27A35">
      <w:pPr>
        <w:pStyle w:val="Prrafodelista"/>
        <w:numPr>
          <w:ilvl w:val="0"/>
          <w:numId w:val="9"/>
        </w:numPr>
        <w:ind w:left="567" w:right="175" w:hanging="567"/>
        <w:jc w:val="both"/>
        <w:rPr>
          <w:rFonts w:ascii="Tahoma" w:hAnsi="Tahoma" w:cs="Tahoma"/>
          <w:sz w:val="22"/>
          <w:szCs w:val="22"/>
        </w:rPr>
      </w:pPr>
      <w:r w:rsidRPr="006E2E42">
        <w:rPr>
          <w:rFonts w:ascii="Tahoma" w:hAnsi="Tahoma" w:cs="Tahoma"/>
          <w:sz w:val="22"/>
          <w:szCs w:val="22"/>
        </w:rPr>
        <w:t>Con decreto del 7 de febrero de 2011, se remitió el expediente a la Primera Sala del Tribunal, para que evalúe la información obrante en el expediente y, de ser el caso, lo declare listo para resolver dentro del plazo de cinco días.</w:t>
      </w:r>
    </w:p>
    <w:p w:rsidR="00F27A35" w:rsidRPr="006E2E42" w:rsidRDefault="00F27A35" w:rsidP="00F27A35">
      <w:pPr>
        <w:pStyle w:val="Prrafodelista"/>
        <w:ind w:left="567" w:right="175"/>
        <w:jc w:val="both"/>
        <w:rPr>
          <w:rFonts w:ascii="Tahoma" w:hAnsi="Tahoma" w:cs="Tahoma"/>
          <w:sz w:val="22"/>
          <w:szCs w:val="22"/>
        </w:rPr>
      </w:pPr>
    </w:p>
    <w:p w:rsidR="00F27A35" w:rsidRPr="006E2E42" w:rsidRDefault="00F27A35" w:rsidP="00F27A35">
      <w:pPr>
        <w:pStyle w:val="Prrafodelista"/>
        <w:numPr>
          <w:ilvl w:val="0"/>
          <w:numId w:val="9"/>
        </w:numPr>
        <w:ind w:left="567" w:right="175" w:hanging="567"/>
        <w:jc w:val="both"/>
        <w:rPr>
          <w:rFonts w:ascii="Tahoma" w:hAnsi="Tahoma" w:cs="Tahoma"/>
          <w:sz w:val="22"/>
          <w:szCs w:val="22"/>
        </w:rPr>
      </w:pPr>
      <w:r w:rsidRPr="006E2E42">
        <w:rPr>
          <w:rFonts w:ascii="Tahoma" w:hAnsi="Tahoma" w:cs="Tahoma"/>
          <w:sz w:val="22"/>
          <w:szCs w:val="22"/>
        </w:rPr>
        <w:t>Mediante decreto de fecha 14 de febrero de 2011, se convocó Audiencia Pública para el día 24 de febrero del año curso, a fin que las partes realicen sus respectivos informes orales.</w:t>
      </w:r>
    </w:p>
    <w:p w:rsidR="00F27A35" w:rsidRPr="006E2E42" w:rsidRDefault="00F27A35" w:rsidP="00F27A35">
      <w:pPr>
        <w:pStyle w:val="Prrafodelista"/>
        <w:rPr>
          <w:rFonts w:ascii="Tahoma" w:hAnsi="Tahoma" w:cs="Tahoma"/>
          <w:sz w:val="22"/>
          <w:szCs w:val="22"/>
        </w:rPr>
      </w:pPr>
    </w:p>
    <w:p w:rsidR="00F27A35" w:rsidRPr="006E2E42" w:rsidRDefault="00F27A35" w:rsidP="00F27A35">
      <w:pPr>
        <w:pStyle w:val="Prrafodelista"/>
        <w:numPr>
          <w:ilvl w:val="0"/>
          <w:numId w:val="9"/>
        </w:numPr>
        <w:ind w:left="567" w:right="175" w:hanging="567"/>
        <w:jc w:val="both"/>
        <w:rPr>
          <w:rFonts w:ascii="Tahoma" w:hAnsi="Tahoma" w:cs="Tahoma"/>
          <w:sz w:val="22"/>
          <w:szCs w:val="22"/>
        </w:rPr>
      </w:pPr>
      <w:r w:rsidRPr="006E2E42">
        <w:rPr>
          <w:rFonts w:ascii="Tahoma" w:hAnsi="Tahoma" w:cs="Tahoma"/>
          <w:sz w:val="22"/>
          <w:szCs w:val="22"/>
        </w:rPr>
        <w:t>El 24 de febrero de 2011, se realizó la Audiencia Pública con la participación del representante del Impugnante.</w:t>
      </w:r>
    </w:p>
    <w:p w:rsidR="00F27A35" w:rsidRPr="006E2E42" w:rsidRDefault="00F27A35" w:rsidP="00F27A35">
      <w:pPr>
        <w:pStyle w:val="Prrafodelista"/>
        <w:rPr>
          <w:rFonts w:ascii="Tahoma" w:hAnsi="Tahoma" w:cs="Tahoma"/>
          <w:sz w:val="22"/>
          <w:szCs w:val="22"/>
        </w:rPr>
      </w:pPr>
    </w:p>
    <w:p w:rsidR="00F27A35" w:rsidRDefault="00F27A35" w:rsidP="00F27A35">
      <w:pPr>
        <w:pStyle w:val="Prrafodelista"/>
        <w:numPr>
          <w:ilvl w:val="0"/>
          <w:numId w:val="9"/>
        </w:numPr>
        <w:ind w:left="567" w:right="175" w:hanging="567"/>
        <w:jc w:val="both"/>
        <w:rPr>
          <w:rFonts w:ascii="Tahoma" w:hAnsi="Tahoma" w:cs="Tahoma"/>
          <w:sz w:val="22"/>
          <w:szCs w:val="22"/>
        </w:rPr>
      </w:pPr>
      <w:r w:rsidRPr="006E2E42">
        <w:rPr>
          <w:rFonts w:ascii="Tahoma" w:hAnsi="Tahoma" w:cs="Tahoma"/>
          <w:sz w:val="22"/>
          <w:szCs w:val="22"/>
        </w:rPr>
        <w:t>Con fecha 25 de febrero de 2011, se declaró el expediente listo para resolver.</w:t>
      </w:r>
    </w:p>
    <w:p w:rsidR="00F27A35" w:rsidRPr="00D34B71" w:rsidRDefault="00F27A35" w:rsidP="00F27A35">
      <w:pPr>
        <w:pStyle w:val="Prrafodelista"/>
        <w:rPr>
          <w:rFonts w:ascii="Tahoma" w:hAnsi="Tahoma" w:cs="Tahoma"/>
          <w:sz w:val="22"/>
          <w:szCs w:val="22"/>
        </w:rPr>
      </w:pPr>
    </w:p>
    <w:p w:rsidR="00F27A35" w:rsidRDefault="00F27A35" w:rsidP="00F27A35">
      <w:pPr>
        <w:pStyle w:val="Prrafodelista"/>
        <w:numPr>
          <w:ilvl w:val="0"/>
          <w:numId w:val="9"/>
        </w:numPr>
        <w:ind w:left="567" w:right="175" w:hanging="567"/>
        <w:jc w:val="both"/>
        <w:rPr>
          <w:rFonts w:ascii="Tahoma" w:hAnsi="Tahoma" w:cs="Tahoma"/>
          <w:sz w:val="22"/>
          <w:szCs w:val="22"/>
        </w:rPr>
      </w:pPr>
      <w:r>
        <w:rPr>
          <w:rFonts w:ascii="Tahoma" w:hAnsi="Tahoma" w:cs="Tahoma"/>
          <w:sz w:val="22"/>
          <w:szCs w:val="22"/>
        </w:rPr>
        <w:t>A través del escrito de fecha 01 de marzo del 2011, la Impugnante señaló que se debe tomar en cuenta lo resuelto en la Resolución Nº 075-2011-TC-S1 de fecha 21 de enero de 2011 y en el Acuerdo expedido en el marco del expediente Nº 1547-2010-TC de fecha 18 de noviembre de 2010, a fin de seguir los siguientes criterios relacionas con las cartas fianzas:</w:t>
      </w:r>
    </w:p>
    <w:p w:rsidR="00F27A35" w:rsidRPr="00014A20" w:rsidRDefault="00F27A35" w:rsidP="00F27A35">
      <w:pPr>
        <w:pStyle w:val="Prrafodelista"/>
        <w:rPr>
          <w:rFonts w:ascii="Tahoma" w:hAnsi="Tahoma" w:cs="Tahoma"/>
          <w:sz w:val="22"/>
          <w:szCs w:val="22"/>
        </w:rPr>
      </w:pPr>
    </w:p>
    <w:p w:rsidR="00F27A35" w:rsidRDefault="00F27A35" w:rsidP="00F27A35">
      <w:pPr>
        <w:pStyle w:val="Prrafodelista"/>
        <w:numPr>
          <w:ilvl w:val="0"/>
          <w:numId w:val="14"/>
        </w:numPr>
        <w:ind w:left="1134" w:right="175" w:hanging="567"/>
        <w:jc w:val="both"/>
        <w:rPr>
          <w:rFonts w:ascii="Tahoma" w:hAnsi="Tahoma" w:cs="Tahoma"/>
          <w:sz w:val="22"/>
          <w:szCs w:val="22"/>
        </w:rPr>
      </w:pPr>
      <w:r>
        <w:rPr>
          <w:rFonts w:ascii="Tahoma" w:hAnsi="Tahoma" w:cs="Tahoma"/>
          <w:sz w:val="22"/>
          <w:szCs w:val="22"/>
        </w:rPr>
        <w:t>Si las cartas fianzas cumplen la finalidad para el cual ha sido constituidas (garantizar la seriedad de oferta o garantizar la interposición del un recurso de apelación), y en éstas se encuentran identificados al fiador, al acreedor y al deudor de tal manera que no habría ningún impedimento en su ejecución, estas son válidas. Por tanto, en el supuesto que en la redacción del texto de la carta fianza haya algún tipo de defecto no sustancial, se debe permitir su subsanación.</w:t>
      </w:r>
    </w:p>
    <w:p w:rsidR="00F27A35" w:rsidRDefault="00F27A35" w:rsidP="00F27A35">
      <w:pPr>
        <w:pStyle w:val="Prrafodelista"/>
        <w:ind w:left="1134" w:right="175" w:hanging="567"/>
        <w:jc w:val="both"/>
        <w:rPr>
          <w:rFonts w:ascii="Tahoma" w:hAnsi="Tahoma" w:cs="Tahoma"/>
          <w:sz w:val="22"/>
          <w:szCs w:val="22"/>
        </w:rPr>
      </w:pPr>
    </w:p>
    <w:p w:rsidR="00F27A35" w:rsidRDefault="00F27A35" w:rsidP="00F27A35">
      <w:pPr>
        <w:pStyle w:val="Prrafodelista"/>
        <w:numPr>
          <w:ilvl w:val="0"/>
          <w:numId w:val="14"/>
        </w:numPr>
        <w:ind w:left="1134" w:right="175" w:hanging="567"/>
        <w:jc w:val="both"/>
        <w:rPr>
          <w:rFonts w:ascii="Tahoma" w:hAnsi="Tahoma" w:cs="Tahoma"/>
          <w:sz w:val="22"/>
          <w:szCs w:val="22"/>
        </w:rPr>
      </w:pPr>
      <w:r>
        <w:rPr>
          <w:rFonts w:ascii="Tahoma" w:hAnsi="Tahoma" w:cs="Tahoma"/>
          <w:sz w:val="22"/>
          <w:szCs w:val="22"/>
        </w:rPr>
        <w:t>Las cartas fianzas tienen un fin provisional y no son fines en sí mismas, toda vez que constituyen documentos accesorios a la propuesta económica.</w:t>
      </w:r>
    </w:p>
    <w:p w:rsidR="00F27A35" w:rsidRDefault="00F27A35" w:rsidP="00F27A35">
      <w:pPr>
        <w:pStyle w:val="Prrafodelista"/>
        <w:ind w:left="1134" w:right="175" w:hanging="567"/>
        <w:jc w:val="both"/>
        <w:rPr>
          <w:rFonts w:ascii="Tahoma" w:hAnsi="Tahoma" w:cs="Tahoma"/>
          <w:sz w:val="22"/>
          <w:szCs w:val="22"/>
        </w:rPr>
      </w:pPr>
    </w:p>
    <w:p w:rsidR="00F27A35" w:rsidRPr="00D34B71" w:rsidRDefault="00F27A35" w:rsidP="00F27A35">
      <w:pPr>
        <w:pStyle w:val="Prrafodelista"/>
        <w:numPr>
          <w:ilvl w:val="0"/>
          <w:numId w:val="14"/>
        </w:numPr>
        <w:ind w:left="1134" w:right="175" w:hanging="567"/>
        <w:jc w:val="both"/>
        <w:rPr>
          <w:rFonts w:ascii="Tahoma" w:hAnsi="Tahoma" w:cs="Tahoma"/>
          <w:sz w:val="22"/>
          <w:szCs w:val="22"/>
        </w:rPr>
      </w:pPr>
      <w:r>
        <w:rPr>
          <w:rFonts w:ascii="Tahoma" w:hAnsi="Tahoma" w:cs="Tahoma"/>
          <w:sz w:val="22"/>
          <w:szCs w:val="22"/>
        </w:rPr>
        <w:t>Tomando en cuenta el principio de la naturaleza de las cosas, se puede advertir que una carta fianza de seriedad de oferta es tal, si se presenta conjuntamente con la propuesta económica, y si además de identificar a los sujetos que participan en su emisión, también identifica la obligación garantizada y, lo más importante, la obligación de mantener su vigencia hasta la suscripción del contrato, por lo tanto, considerando que todo ello se ha cumplido en sus cartas fianzas presentadas, se puede colegir que estamos ante un garantía de seriedad de oferta, aunque en las cartas se haya omitido la palabra “seriedad”, lo cual no es un elemento trascendente.</w:t>
      </w:r>
    </w:p>
    <w:p w:rsidR="00F27A35" w:rsidRPr="00CB0B36" w:rsidRDefault="00F27A35" w:rsidP="00F27A35">
      <w:pPr>
        <w:tabs>
          <w:tab w:val="num" w:pos="567"/>
        </w:tabs>
        <w:ind w:left="540"/>
        <w:jc w:val="both"/>
        <w:rPr>
          <w:rFonts w:ascii="Tahoma" w:hAnsi="Tahoma" w:cs="Tahoma"/>
          <w:sz w:val="22"/>
          <w:szCs w:val="22"/>
        </w:rPr>
      </w:pPr>
    </w:p>
    <w:p w:rsidR="00F27A35" w:rsidRPr="00CB0B36" w:rsidRDefault="00F27A35" w:rsidP="00F27A35">
      <w:pPr>
        <w:pStyle w:val="Prrafodelista"/>
        <w:numPr>
          <w:ilvl w:val="0"/>
          <w:numId w:val="3"/>
        </w:numPr>
        <w:ind w:left="567" w:hanging="283"/>
        <w:jc w:val="both"/>
        <w:rPr>
          <w:rFonts w:ascii="Tahoma" w:hAnsi="Tahoma" w:cs="Tahoma"/>
          <w:sz w:val="22"/>
          <w:szCs w:val="22"/>
        </w:rPr>
      </w:pPr>
      <w:r w:rsidRPr="00CB0B36">
        <w:rPr>
          <w:rFonts w:ascii="Tahoma" w:hAnsi="Tahoma" w:cs="Tahoma"/>
          <w:b/>
          <w:bCs/>
          <w:shadow/>
          <w:sz w:val="22"/>
          <w:szCs w:val="22"/>
        </w:rPr>
        <w:t>FUNDAMENTACION:</w:t>
      </w:r>
    </w:p>
    <w:p w:rsidR="00F27A35" w:rsidRPr="00CB0B36" w:rsidRDefault="00F27A35" w:rsidP="00F27A35">
      <w:pPr>
        <w:tabs>
          <w:tab w:val="left" w:pos="567"/>
        </w:tabs>
        <w:autoSpaceDE w:val="0"/>
        <w:autoSpaceDN w:val="0"/>
        <w:adjustRightInd w:val="0"/>
        <w:jc w:val="both"/>
        <w:rPr>
          <w:rFonts w:ascii="Tahoma" w:hAnsi="Tahoma" w:cs="Tahoma"/>
          <w:sz w:val="22"/>
          <w:szCs w:val="22"/>
        </w:rPr>
      </w:pPr>
    </w:p>
    <w:p w:rsidR="00F27A35" w:rsidRPr="004B1D10" w:rsidRDefault="00F27A35" w:rsidP="00F27A35">
      <w:pPr>
        <w:numPr>
          <w:ilvl w:val="0"/>
          <w:numId w:val="15"/>
        </w:numPr>
        <w:tabs>
          <w:tab w:val="left" w:pos="567"/>
        </w:tabs>
        <w:autoSpaceDE w:val="0"/>
        <w:autoSpaceDN w:val="0"/>
        <w:adjustRightInd w:val="0"/>
        <w:ind w:left="567" w:hanging="567"/>
        <w:jc w:val="both"/>
        <w:rPr>
          <w:rFonts w:ascii="Tahoma" w:hAnsi="Tahoma" w:cs="Tahoma"/>
          <w:color w:val="000000"/>
          <w:sz w:val="22"/>
          <w:szCs w:val="22"/>
        </w:rPr>
      </w:pPr>
      <w:r w:rsidRPr="004B1D10">
        <w:rPr>
          <w:rFonts w:ascii="Tahoma" w:hAnsi="Tahoma" w:cs="Tahoma"/>
          <w:color w:val="000000"/>
          <w:sz w:val="22"/>
          <w:szCs w:val="22"/>
        </w:rPr>
        <w:t xml:space="preserve">Es materia del presente análisis el recurso de apelación interpuesto por el </w:t>
      </w:r>
      <w:r w:rsidRPr="004B1D10">
        <w:rPr>
          <w:rFonts w:ascii="Tahoma" w:hAnsi="Tahoma" w:cs="Tahoma"/>
          <w:sz w:val="22"/>
          <w:szCs w:val="22"/>
        </w:rPr>
        <w:t>Impugnante</w:t>
      </w:r>
      <w:r w:rsidRPr="004B1D10">
        <w:rPr>
          <w:rFonts w:ascii="Tahoma" w:hAnsi="Tahoma" w:cs="Tahoma"/>
          <w:color w:val="000000"/>
          <w:sz w:val="22"/>
          <w:szCs w:val="22"/>
        </w:rPr>
        <w:t xml:space="preserve"> contra la descalificación de su oferta económica de los ítems </w:t>
      </w:r>
      <w:r w:rsidRPr="004B1D10">
        <w:rPr>
          <w:rFonts w:ascii="Tahoma" w:hAnsi="Tahoma" w:cs="Tahoma"/>
          <w:sz w:val="22"/>
          <w:szCs w:val="22"/>
        </w:rPr>
        <w:t>Nº 01 y 02 de la Licitación Pública Nº 0011-2010-BN,</w:t>
      </w:r>
      <w:r w:rsidRPr="004B1D10">
        <w:rPr>
          <w:rFonts w:ascii="Tahoma" w:hAnsi="Tahoma" w:cs="Tahoma"/>
          <w:sz w:val="22"/>
          <w:szCs w:val="22"/>
          <w:lang w:val="es-PE"/>
        </w:rPr>
        <w:t xml:space="preserve"> para</w:t>
      </w:r>
      <w:r w:rsidRPr="004B1D10">
        <w:rPr>
          <w:rFonts w:ascii="Tahoma" w:hAnsi="Tahoma" w:cs="Tahoma"/>
          <w:sz w:val="22"/>
          <w:szCs w:val="22"/>
        </w:rPr>
        <w:t xml:space="preserve"> la “Adquisición de Cajeros Automáticos y Sistema de Video de Grabación Digital”</w:t>
      </w:r>
      <w:r w:rsidRPr="004B1D10">
        <w:rPr>
          <w:rFonts w:ascii="Tahoma" w:hAnsi="Tahoma" w:cs="Tahoma"/>
          <w:color w:val="000000"/>
          <w:sz w:val="22"/>
          <w:szCs w:val="22"/>
        </w:rPr>
        <w:t>.</w:t>
      </w:r>
    </w:p>
    <w:p w:rsidR="00F27A35" w:rsidRPr="004B1D10" w:rsidRDefault="00F27A35" w:rsidP="00F27A35">
      <w:pPr>
        <w:autoSpaceDE w:val="0"/>
        <w:autoSpaceDN w:val="0"/>
        <w:adjustRightInd w:val="0"/>
        <w:ind w:left="567"/>
        <w:jc w:val="both"/>
        <w:rPr>
          <w:rFonts w:ascii="Tahoma" w:hAnsi="Tahoma" w:cs="Tahoma"/>
          <w:color w:val="000000"/>
          <w:sz w:val="22"/>
          <w:szCs w:val="22"/>
        </w:rPr>
      </w:pPr>
    </w:p>
    <w:p w:rsidR="00F27A35" w:rsidRPr="004B1D10" w:rsidRDefault="00F27A35" w:rsidP="00F27A35">
      <w:pPr>
        <w:tabs>
          <w:tab w:val="left" w:pos="567"/>
        </w:tabs>
        <w:autoSpaceDE w:val="0"/>
        <w:autoSpaceDN w:val="0"/>
        <w:adjustRightInd w:val="0"/>
        <w:ind w:left="567"/>
        <w:jc w:val="both"/>
        <w:rPr>
          <w:rFonts w:ascii="Tahoma" w:hAnsi="Tahoma" w:cs="Tahoma"/>
          <w:color w:val="000000"/>
          <w:sz w:val="22"/>
          <w:szCs w:val="22"/>
        </w:rPr>
      </w:pPr>
      <w:r w:rsidRPr="004B1D10">
        <w:rPr>
          <w:rFonts w:ascii="Tahoma" w:hAnsi="Tahoma" w:cs="Tahoma"/>
          <w:color w:val="000000"/>
          <w:sz w:val="22"/>
          <w:szCs w:val="22"/>
        </w:rPr>
        <w:t>Debe tenerse en cuenta que el presente proceso de selección se llevó a cabo estando vigente la Ley de Contrataciones del Estado, aprobada por Decreto Legislativo Nº 1017, en adelante la Ley, y su Reglamento, aprobado por Decreto Supremo Nº 184-2008-EF, en adelante el Reglamento; por lo que tales disposiciones legales resultan aplicables.</w:t>
      </w:r>
    </w:p>
    <w:p w:rsidR="00F27A35" w:rsidRPr="004B1D10" w:rsidRDefault="00F27A35" w:rsidP="00F27A35">
      <w:pPr>
        <w:tabs>
          <w:tab w:val="left" w:pos="567"/>
        </w:tabs>
        <w:autoSpaceDE w:val="0"/>
        <w:autoSpaceDN w:val="0"/>
        <w:adjustRightInd w:val="0"/>
        <w:ind w:left="567"/>
        <w:jc w:val="both"/>
        <w:rPr>
          <w:rFonts w:ascii="Tahoma" w:hAnsi="Tahoma" w:cs="Tahoma"/>
          <w:sz w:val="22"/>
          <w:szCs w:val="22"/>
        </w:rPr>
      </w:pPr>
    </w:p>
    <w:p w:rsidR="00F27A35" w:rsidRPr="004B1D10" w:rsidRDefault="00F27A35" w:rsidP="00F27A35">
      <w:pPr>
        <w:numPr>
          <w:ilvl w:val="0"/>
          <w:numId w:val="15"/>
        </w:numPr>
        <w:tabs>
          <w:tab w:val="left" w:pos="567"/>
        </w:tabs>
        <w:autoSpaceDE w:val="0"/>
        <w:autoSpaceDN w:val="0"/>
        <w:adjustRightInd w:val="0"/>
        <w:ind w:left="567" w:hanging="567"/>
        <w:jc w:val="both"/>
        <w:rPr>
          <w:rFonts w:ascii="Tahoma" w:hAnsi="Tahoma" w:cs="Tahoma"/>
          <w:sz w:val="22"/>
          <w:szCs w:val="22"/>
        </w:rPr>
      </w:pPr>
      <w:r w:rsidRPr="004B1D10">
        <w:rPr>
          <w:rFonts w:ascii="Tahoma" w:hAnsi="Tahoma" w:cs="Tahoma"/>
          <w:sz w:val="22"/>
          <w:szCs w:val="22"/>
        </w:rPr>
        <w:t xml:space="preserve">Como fluye de los antecedentes expuestos, el punto controvertido planteado por el Impugnante es determinar si debe ser descalificado por haber adjuntado las Cartas Fianzas Nº </w:t>
      </w:r>
      <w:r w:rsidRPr="004B1D10">
        <w:rPr>
          <w:rFonts w:ascii="Tahoma" w:hAnsi="Tahoma" w:cs="Tahoma"/>
          <w:i/>
          <w:sz w:val="22"/>
          <w:szCs w:val="22"/>
        </w:rPr>
        <w:t xml:space="preserve">010239139 000 y Nº 010239140 000 </w:t>
      </w:r>
      <w:r w:rsidRPr="004B1D10">
        <w:rPr>
          <w:rFonts w:ascii="Tahoma" w:hAnsi="Tahoma" w:cs="Tahoma"/>
          <w:sz w:val="22"/>
          <w:szCs w:val="22"/>
        </w:rPr>
        <w:t>en las cuales no se consignó de manera completa que garantizaban la seriedad de oferta, o si debe ser reincorporado como postor hábil a los ítems Nº 01 y Nº 02 de la Licitación Pública Nº 0011-2010-BN.</w:t>
      </w:r>
    </w:p>
    <w:p w:rsidR="00F27A35" w:rsidRPr="004B1D10" w:rsidRDefault="00F27A35" w:rsidP="00F27A35">
      <w:pPr>
        <w:tabs>
          <w:tab w:val="left" w:pos="567"/>
        </w:tabs>
        <w:autoSpaceDE w:val="0"/>
        <w:autoSpaceDN w:val="0"/>
        <w:adjustRightInd w:val="0"/>
        <w:ind w:left="567"/>
        <w:jc w:val="both"/>
        <w:rPr>
          <w:rFonts w:ascii="Tahoma" w:hAnsi="Tahoma" w:cs="Tahoma"/>
          <w:sz w:val="22"/>
          <w:szCs w:val="22"/>
        </w:rPr>
      </w:pPr>
    </w:p>
    <w:p w:rsidR="00F27A35" w:rsidRPr="004B1D10" w:rsidRDefault="00F27A35" w:rsidP="00F27A35">
      <w:pPr>
        <w:numPr>
          <w:ilvl w:val="0"/>
          <w:numId w:val="15"/>
        </w:numPr>
        <w:tabs>
          <w:tab w:val="left" w:pos="567"/>
        </w:tabs>
        <w:autoSpaceDE w:val="0"/>
        <w:autoSpaceDN w:val="0"/>
        <w:adjustRightInd w:val="0"/>
        <w:ind w:left="567" w:hanging="567"/>
        <w:jc w:val="both"/>
        <w:rPr>
          <w:rFonts w:ascii="Tahoma" w:hAnsi="Tahoma" w:cs="Tahoma"/>
          <w:sz w:val="22"/>
          <w:szCs w:val="22"/>
        </w:rPr>
      </w:pPr>
      <w:r w:rsidRPr="004B1D10">
        <w:rPr>
          <w:rFonts w:ascii="Tahoma" w:hAnsi="Tahoma" w:cs="Tahoma"/>
          <w:sz w:val="22"/>
          <w:szCs w:val="22"/>
        </w:rPr>
        <w:t xml:space="preserve">Sobre el particular, el Impugnante sostiene que si bien era cierto que en las cartas fianzas en cuestión sólo aparecían el término “garantía de oferta”, omitiéndose de manera involuntaria el término “seriedad”; el razonamiento seguido por el Comité Especial para desestimar su propuesta resultaba incorrecta e ilegal, pues el hecho que la garantía de seriedad de oferta acompañe a la propuesta económica, no significaba que dicha garantía constituya propiamente la oferta económica y, por tanto, que no pueda ser subsanada cuando en su emisión se haya incurrido en errores o defectos que no afecten de manera sustancial su objetivo, criterio establecido por el Tribunal en la Resolución Nº 2118-2009-TC-S2 del 30 de setiembre de 2009. </w:t>
      </w:r>
    </w:p>
    <w:p w:rsidR="00F27A35" w:rsidRPr="004B1D10" w:rsidRDefault="00F27A35" w:rsidP="00F27A35">
      <w:pPr>
        <w:pStyle w:val="Prrafodelista"/>
        <w:rPr>
          <w:rFonts w:ascii="Tahoma" w:hAnsi="Tahoma" w:cs="Tahoma"/>
          <w:sz w:val="22"/>
          <w:szCs w:val="22"/>
        </w:rPr>
      </w:pPr>
    </w:p>
    <w:p w:rsidR="00F27A35" w:rsidRPr="004B1D10" w:rsidRDefault="00F27A35" w:rsidP="00F27A35">
      <w:pPr>
        <w:numPr>
          <w:ilvl w:val="0"/>
          <w:numId w:val="15"/>
        </w:numPr>
        <w:tabs>
          <w:tab w:val="left" w:pos="567"/>
        </w:tabs>
        <w:autoSpaceDE w:val="0"/>
        <w:autoSpaceDN w:val="0"/>
        <w:adjustRightInd w:val="0"/>
        <w:ind w:left="567" w:hanging="567"/>
        <w:jc w:val="both"/>
        <w:rPr>
          <w:rFonts w:ascii="Tahoma" w:hAnsi="Tahoma" w:cs="Tahoma"/>
          <w:sz w:val="22"/>
          <w:szCs w:val="22"/>
        </w:rPr>
      </w:pPr>
      <w:r w:rsidRPr="004B1D10">
        <w:rPr>
          <w:rFonts w:ascii="Tahoma" w:hAnsi="Tahoma" w:cs="Tahoma"/>
          <w:sz w:val="22"/>
          <w:szCs w:val="22"/>
        </w:rPr>
        <w:t>Por su parte, la Entidad indicó que en concordancia con lo expuesto en las Bases y del voto singular recaído en la Resolución Nº 2118-2009-TC-S2, se debe aplicar el artículo 68 del Reglamento, el mismo que establece que no cabe subsanación alguna por omisiones o errores en la propuesta económica, salvo defecto de foliación y de rúbrica de cada uno de los folios que componen la oferta, no debiendo soslayarse el hecho que los postores aceptaron competir bajo las mismas condiciones y se sometieron a las Bases sin cuestionar las regulaciones que ellas contienen, en particular la referida a la presentación de las cartas fianzas, por el contrario, pretender que se varíen las pautas admitidas por todas las partes desde un inicio a través de las Bases, porque una de las reglas afectó a un determinado postor, significa generar inseguridad jurídica y falta de transparencia en los procesos de selección del Estado</w:t>
      </w:r>
    </w:p>
    <w:p w:rsidR="00F27A35" w:rsidRPr="004B1D10" w:rsidRDefault="00F27A35" w:rsidP="00F27A35">
      <w:pPr>
        <w:pStyle w:val="Prrafodelista"/>
        <w:rPr>
          <w:rFonts w:ascii="Tahoma" w:hAnsi="Tahoma" w:cs="Tahoma"/>
          <w:sz w:val="22"/>
          <w:szCs w:val="22"/>
        </w:rPr>
      </w:pPr>
    </w:p>
    <w:p w:rsidR="00F27A35" w:rsidRPr="004B1D10" w:rsidRDefault="00F27A35" w:rsidP="00F27A35">
      <w:pPr>
        <w:tabs>
          <w:tab w:val="left" w:pos="567"/>
        </w:tabs>
        <w:autoSpaceDE w:val="0"/>
        <w:autoSpaceDN w:val="0"/>
        <w:adjustRightInd w:val="0"/>
        <w:ind w:left="567"/>
        <w:jc w:val="both"/>
        <w:rPr>
          <w:rFonts w:ascii="Tahoma" w:hAnsi="Tahoma" w:cs="Tahoma"/>
          <w:sz w:val="22"/>
          <w:szCs w:val="22"/>
        </w:rPr>
      </w:pPr>
      <w:r w:rsidRPr="004B1D10">
        <w:rPr>
          <w:rFonts w:ascii="Tahoma" w:hAnsi="Tahoma" w:cs="Tahoma"/>
          <w:sz w:val="22"/>
          <w:szCs w:val="22"/>
        </w:rPr>
        <w:t>Asimismo, señaló que según reiterados pronunciamientos del Tribunal, la formulación de ofertas es de entera y exclusiva responsabilidad de cada postor, así como las consecuencias de cualquier deficiencia o defecto en su elaboración o en los documentos que la integran, sin que la Entidad se vea perjudicada por su falta de cuidado o diligencia.</w:t>
      </w:r>
    </w:p>
    <w:p w:rsidR="00F27A35" w:rsidRPr="004B1D10" w:rsidRDefault="00F27A35" w:rsidP="00F27A35">
      <w:pPr>
        <w:tabs>
          <w:tab w:val="left" w:pos="567"/>
        </w:tabs>
        <w:autoSpaceDE w:val="0"/>
        <w:autoSpaceDN w:val="0"/>
        <w:adjustRightInd w:val="0"/>
        <w:ind w:left="567"/>
        <w:jc w:val="both"/>
        <w:rPr>
          <w:rFonts w:ascii="Tahoma" w:hAnsi="Tahoma" w:cs="Tahoma"/>
          <w:sz w:val="22"/>
          <w:szCs w:val="22"/>
        </w:rPr>
      </w:pPr>
    </w:p>
    <w:p w:rsidR="00F27A35" w:rsidRPr="004B1D10" w:rsidRDefault="00F27A35" w:rsidP="00F27A35">
      <w:pPr>
        <w:ind w:left="567" w:right="175"/>
        <w:jc w:val="both"/>
        <w:rPr>
          <w:rFonts w:ascii="Tahoma" w:hAnsi="Tahoma" w:cs="Tahoma"/>
          <w:sz w:val="22"/>
          <w:szCs w:val="22"/>
        </w:rPr>
      </w:pPr>
      <w:r w:rsidRPr="004B1D10">
        <w:rPr>
          <w:rFonts w:ascii="Tahoma" w:hAnsi="Tahoma" w:cs="Tahoma"/>
          <w:sz w:val="22"/>
          <w:szCs w:val="22"/>
        </w:rPr>
        <w:lastRenderedPageBreak/>
        <w:t>Por otra parte, señaló que debía tenerse presente que las autoridades administrativas que tenían a su cargo la conducción de los procesos de selección o que son responsables de emitir acuerdos o resoluciones respecto de ellos, debían asumir conductas y tratamientos que garanticen la mayor imparcialidad y objetividad a los postores participantes, de modo que con sus actuaciones no excedan los límites o facultades que les han sido otorgadas y no se beneficie o perjudique a un postor de manera indebida.</w:t>
      </w:r>
    </w:p>
    <w:p w:rsidR="00F27A35" w:rsidRPr="004B1D10" w:rsidRDefault="00F27A35" w:rsidP="00F27A35">
      <w:pPr>
        <w:tabs>
          <w:tab w:val="left" w:pos="567"/>
        </w:tabs>
        <w:autoSpaceDE w:val="0"/>
        <w:autoSpaceDN w:val="0"/>
        <w:adjustRightInd w:val="0"/>
        <w:ind w:left="567"/>
        <w:jc w:val="both"/>
        <w:rPr>
          <w:rFonts w:ascii="Tahoma" w:hAnsi="Tahoma" w:cs="Tahoma"/>
          <w:sz w:val="22"/>
          <w:szCs w:val="22"/>
        </w:rPr>
      </w:pPr>
    </w:p>
    <w:p w:rsidR="00F27A35" w:rsidRPr="004B1D10" w:rsidRDefault="00F27A35" w:rsidP="00F27A35">
      <w:pPr>
        <w:numPr>
          <w:ilvl w:val="0"/>
          <w:numId w:val="15"/>
        </w:numPr>
        <w:tabs>
          <w:tab w:val="left" w:pos="567"/>
        </w:tabs>
        <w:autoSpaceDE w:val="0"/>
        <w:autoSpaceDN w:val="0"/>
        <w:adjustRightInd w:val="0"/>
        <w:ind w:left="567" w:hanging="567"/>
        <w:jc w:val="both"/>
        <w:rPr>
          <w:rFonts w:ascii="Tahoma" w:hAnsi="Tahoma" w:cs="Tahoma"/>
          <w:sz w:val="22"/>
          <w:szCs w:val="22"/>
        </w:rPr>
      </w:pPr>
      <w:r w:rsidRPr="004B1D10">
        <w:rPr>
          <w:rFonts w:ascii="Tahoma" w:hAnsi="Tahoma" w:cs="Tahoma"/>
          <w:sz w:val="22"/>
          <w:szCs w:val="22"/>
        </w:rPr>
        <w:t>A fin de dilucidar la controversia es necesario indicar que las Bases Integradas de la Licitación Pública Nº 0011-2010-BN requirieron lo siguiente:</w:t>
      </w:r>
    </w:p>
    <w:p w:rsidR="00F27A35" w:rsidRPr="00C7720C" w:rsidRDefault="00F27A35" w:rsidP="00F27A35">
      <w:pPr>
        <w:pStyle w:val="Prrafodelista"/>
        <w:rPr>
          <w:rFonts w:ascii="Tahoma" w:hAnsi="Tahoma" w:cs="Tahoma"/>
        </w:rPr>
      </w:pPr>
    </w:p>
    <w:p w:rsidR="00F27A35" w:rsidRPr="00235339" w:rsidRDefault="00F27A35" w:rsidP="00F27A35">
      <w:pPr>
        <w:pStyle w:val="WW-Textosinformato"/>
        <w:tabs>
          <w:tab w:val="right" w:pos="12221"/>
        </w:tabs>
        <w:ind w:left="851" w:right="282"/>
        <w:jc w:val="both"/>
        <w:rPr>
          <w:rFonts w:ascii="Tahoma" w:hAnsi="Tahoma" w:cs="Tahoma"/>
          <w:b/>
          <w:i/>
          <w:sz w:val="18"/>
          <w:szCs w:val="18"/>
          <w:lang w:val="es-ES_tradnl"/>
        </w:rPr>
      </w:pPr>
      <w:r w:rsidRPr="00235339">
        <w:rPr>
          <w:rFonts w:ascii="Tahoma" w:hAnsi="Tahoma" w:cs="Tahoma"/>
          <w:b/>
          <w:i/>
          <w:sz w:val="18"/>
          <w:szCs w:val="18"/>
          <w:lang w:val="es-ES_tradnl"/>
        </w:rPr>
        <w:t>“SOBRE N° 2 - PROPUESTA ECONÓMICA (se presentará en original)</w:t>
      </w:r>
    </w:p>
    <w:p w:rsidR="00F27A35" w:rsidRPr="00235339" w:rsidRDefault="00F27A35" w:rsidP="00F27A35">
      <w:pPr>
        <w:pStyle w:val="WW-Textosinformato"/>
        <w:tabs>
          <w:tab w:val="center" w:pos="6402"/>
          <w:tab w:val="right" w:pos="10821"/>
        </w:tabs>
        <w:ind w:left="851" w:right="282"/>
        <w:jc w:val="both"/>
        <w:rPr>
          <w:rFonts w:ascii="Tahoma" w:hAnsi="Tahoma" w:cs="Tahoma"/>
          <w:i/>
          <w:sz w:val="18"/>
          <w:szCs w:val="18"/>
          <w:lang w:val="es-ES_tradnl"/>
        </w:rPr>
      </w:pPr>
    </w:p>
    <w:p w:rsidR="00F27A35" w:rsidRPr="00235339" w:rsidRDefault="00F27A35" w:rsidP="00F27A35">
      <w:pPr>
        <w:pStyle w:val="WW-Textosinformato"/>
        <w:tabs>
          <w:tab w:val="center" w:pos="6402"/>
          <w:tab w:val="right" w:pos="10821"/>
        </w:tabs>
        <w:ind w:left="851" w:right="282"/>
        <w:jc w:val="both"/>
        <w:rPr>
          <w:rFonts w:ascii="Tahoma" w:hAnsi="Tahoma" w:cs="Tahoma"/>
          <w:i/>
          <w:sz w:val="18"/>
          <w:szCs w:val="18"/>
          <w:lang w:val="es-ES"/>
        </w:rPr>
      </w:pPr>
      <w:r w:rsidRPr="00235339">
        <w:rPr>
          <w:rFonts w:ascii="Tahoma" w:hAnsi="Tahoma" w:cs="Tahoma"/>
          <w:i/>
          <w:sz w:val="18"/>
          <w:szCs w:val="18"/>
          <w:lang w:val="es-ES"/>
        </w:rPr>
        <w:t xml:space="preserve">El Sobre N° 2 deberá contener la siguiente información obligatoria: </w:t>
      </w:r>
    </w:p>
    <w:p w:rsidR="00F27A35" w:rsidRPr="00235339" w:rsidRDefault="00F27A35" w:rsidP="00F27A35">
      <w:pPr>
        <w:pStyle w:val="WW-Textosinformato"/>
        <w:tabs>
          <w:tab w:val="center" w:pos="993"/>
          <w:tab w:val="center" w:pos="6402"/>
          <w:tab w:val="right" w:pos="10821"/>
        </w:tabs>
        <w:ind w:left="851" w:right="282" w:hanging="284"/>
        <w:jc w:val="both"/>
        <w:rPr>
          <w:rFonts w:ascii="Tahoma" w:hAnsi="Tahoma" w:cs="Tahoma"/>
          <w:i/>
          <w:sz w:val="18"/>
          <w:szCs w:val="18"/>
          <w:lang w:val="es-ES"/>
        </w:rPr>
      </w:pPr>
    </w:p>
    <w:p w:rsidR="00F27A35" w:rsidRPr="00235339" w:rsidRDefault="00F27A35" w:rsidP="00F27A35">
      <w:pPr>
        <w:numPr>
          <w:ilvl w:val="0"/>
          <w:numId w:val="16"/>
        </w:numPr>
        <w:autoSpaceDE w:val="0"/>
        <w:autoSpaceDN w:val="0"/>
        <w:adjustRightInd w:val="0"/>
        <w:ind w:left="851" w:right="282" w:firstLine="0"/>
        <w:jc w:val="both"/>
        <w:rPr>
          <w:rFonts w:ascii="Tahoma" w:eastAsia="MS Mincho" w:hAnsi="Tahoma" w:cs="Tahoma"/>
          <w:i/>
          <w:sz w:val="18"/>
          <w:szCs w:val="18"/>
        </w:rPr>
      </w:pPr>
      <w:r w:rsidRPr="00235339">
        <w:rPr>
          <w:rFonts w:ascii="Tahoma" w:eastAsia="MS Mincho" w:hAnsi="Tahoma" w:cs="Tahoma"/>
          <w:i/>
          <w:sz w:val="18"/>
          <w:szCs w:val="18"/>
        </w:rPr>
        <w:t>Oferta económica.  (</w:t>
      </w:r>
      <w:r w:rsidRPr="00235339">
        <w:rPr>
          <w:rFonts w:ascii="Tahoma" w:eastAsia="MS Mincho" w:hAnsi="Tahoma" w:cs="Tahoma"/>
          <w:b/>
          <w:i/>
          <w:sz w:val="18"/>
          <w:szCs w:val="18"/>
        </w:rPr>
        <w:t>Anexo Nº 07</w:t>
      </w:r>
      <w:r w:rsidRPr="00235339">
        <w:rPr>
          <w:rFonts w:ascii="Tahoma" w:eastAsia="MS Mincho" w:hAnsi="Tahoma" w:cs="Tahoma"/>
          <w:i/>
          <w:sz w:val="18"/>
          <w:szCs w:val="18"/>
        </w:rPr>
        <w:t>)</w:t>
      </w:r>
    </w:p>
    <w:p w:rsidR="00F27A35" w:rsidRPr="00235339" w:rsidRDefault="00F27A35" w:rsidP="00F27A35">
      <w:pPr>
        <w:tabs>
          <w:tab w:val="left" w:pos="0"/>
          <w:tab w:val="left" w:pos="1134"/>
        </w:tabs>
        <w:autoSpaceDE w:val="0"/>
        <w:autoSpaceDN w:val="0"/>
        <w:adjustRightInd w:val="0"/>
        <w:ind w:left="851" w:right="282"/>
        <w:jc w:val="both"/>
        <w:rPr>
          <w:rFonts w:ascii="Tahoma" w:eastAsia="MS Mincho" w:hAnsi="Tahoma" w:cs="Tahoma"/>
          <w:i/>
          <w:sz w:val="18"/>
          <w:szCs w:val="18"/>
        </w:rPr>
      </w:pPr>
    </w:p>
    <w:p w:rsidR="00F27A35" w:rsidRPr="00235339" w:rsidRDefault="00F27A35" w:rsidP="00F27A35">
      <w:pPr>
        <w:tabs>
          <w:tab w:val="left" w:pos="0"/>
          <w:tab w:val="left" w:pos="1134"/>
        </w:tabs>
        <w:autoSpaceDE w:val="0"/>
        <w:autoSpaceDN w:val="0"/>
        <w:adjustRightInd w:val="0"/>
        <w:ind w:left="851" w:right="282"/>
        <w:jc w:val="both"/>
        <w:rPr>
          <w:rFonts w:ascii="Tahoma" w:eastAsia="MS Mincho" w:hAnsi="Tahoma" w:cs="Tahoma"/>
          <w:i/>
          <w:sz w:val="18"/>
          <w:szCs w:val="18"/>
        </w:rPr>
      </w:pPr>
      <w:r w:rsidRPr="00235339">
        <w:rPr>
          <w:rFonts w:ascii="Tahoma" w:eastAsia="MS Mincho" w:hAnsi="Tahoma" w:cs="Tahoma"/>
          <w:i/>
          <w:sz w:val="18"/>
          <w:szCs w:val="18"/>
        </w:rPr>
        <w:t>El monto total de la propuesta económica y los subtotales que lo componen deberán ser expresados con dos decimales.</w:t>
      </w:r>
    </w:p>
    <w:p w:rsidR="00F27A35" w:rsidRPr="00235339" w:rsidRDefault="00F27A35" w:rsidP="00F27A35">
      <w:pPr>
        <w:autoSpaceDE w:val="0"/>
        <w:autoSpaceDN w:val="0"/>
        <w:adjustRightInd w:val="0"/>
        <w:ind w:left="851" w:right="282" w:hanging="360"/>
        <w:jc w:val="both"/>
        <w:rPr>
          <w:rFonts w:ascii="Tahoma" w:hAnsi="Tahoma" w:cs="Tahoma"/>
          <w:i/>
          <w:sz w:val="18"/>
          <w:szCs w:val="18"/>
        </w:rPr>
      </w:pPr>
    </w:p>
    <w:p w:rsidR="00F27A35" w:rsidRPr="00235339" w:rsidRDefault="00F27A35" w:rsidP="00F27A35">
      <w:pPr>
        <w:numPr>
          <w:ilvl w:val="0"/>
          <w:numId w:val="16"/>
        </w:numPr>
        <w:tabs>
          <w:tab w:val="left" w:pos="0"/>
        </w:tabs>
        <w:ind w:left="851" w:right="282" w:firstLine="0"/>
        <w:jc w:val="both"/>
        <w:rPr>
          <w:rFonts w:ascii="Tahoma" w:hAnsi="Tahoma" w:cs="Tahoma"/>
          <w:i/>
          <w:sz w:val="18"/>
          <w:szCs w:val="18"/>
        </w:rPr>
      </w:pPr>
      <w:r w:rsidRPr="00235339">
        <w:rPr>
          <w:rFonts w:ascii="Tahoma" w:hAnsi="Tahoma" w:cs="Tahoma"/>
          <w:i/>
          <w:sz w:val="18"/>
          <w:szCs w:val="18"/>
        </w:rPr>
        <w:t>Garantía de seriedad de oferta (Carta Fianza) por un monto de:</w:t>
      </w:r>
    </w:p>
    <w:p w:rsidR="00F27A35" w:rsidRPr="00235339" w:rsidRDefault="00F27A35" w:rsidP="00F27A35">
      <w:pPr>
        <w:tabs>
          <w:tab w:val="left" w:pos="0"/>
        </w:tabs>
        <w:ind w:left="851" w:right="282"/>
        <w:jc w:val="both"/>
        <w:rPr>
          <w:rFonts w:ascii="Tahoma" w:hAnsi="Tahoma" w:cs="Tahoma"/>
          <w:i/>
          <w:sz w:val="18"/>
          <w:szCs w:val="18"/>
        </w:rPr>
      </w:pPr>
    </w:p>
    <w:tbl>
      <w:tblPr>
        <w:tblW w:w="0" w:type="auto"/>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2"/>
        <w:gridCol w:w="851"/>
        <w:gridCol w:w="4252"/>
      </w:tblGrid>
      <w:tr w:rsidR="00F27A35" w:rsidRPr="00235339" w:rsidTr="00FD050F">
        <w:trPr>
          <w:trHeight w:val="505"/>
        </w:trPr>
        <w:tc>
          <w:tcPr>
            <w:tcW w:w="2202" w:type="dxa"/>
          </w:tcPr>
          <w:p w:rsidR="00F27A35" w:rsidRPr="00235339" w:rsidRDefault="00F27A35" w:rsidP="00FD050F">
            <w:pPr>
              <w:tabs>
                <w:tab w:val="left" w:pos="0"/>
              </w:tabs>
              <w:suppressAutoHyphens/>
              <w:ind w:left="110" w:right="282"/>
              <w:jc w:val="both"/>
              <w:rPr>
                <w:rFonts w:ascii="Arial" w:hAnsi="Arial" w:cs="Arial"/>
                <w:i/>
                <w:sz w:val="18"/>
                <w:szCs w:val="18"/>
              </w:rPr>
            </w:pPr>
            <w:r w:rsidRPr="00235339">
              <w:rPr>
                <w:rFonts w:ascii="Arial" w:hAnsi="Arial" w:cs="Arial"/>
                <w:i/>
                <w:sz w:val="18"/>
                <w:szCs w:val="18"/>
              </w:rPr>
              <w:t>Ítem N° 1 por la suma de</w:t>
            </w:r>
          </w:p>
        </w:tc>
        <w:tc>
          <w:tcPr>
            <w:tcW w:w="851" w:type="dxa"/>
          </w:tcPr>
          <w:p w:rsidR="00F27A35" w:rsidRPr="00235339" w:rsidRDefault="00F27A35" w:rsidP="00FD050F">
            <w:pPr>
              <w:tabs>
                <w:tab w:val="left" w:pos="0"/>
              </w:tabs>
              <w:suppressAutoHyphens/>
              <w:ind w:left="113" w:right="282"/>
              <w:jc w:val="both"/>
              <w:rPr>
                <w:rFonts w:ascii="Arial" w:hAnsi="Arial" w:cs="Arial"/>
                <w:i/>
                <w:sz w:val="18"/>
                <w:szCs w:val="18"/>
              </w:rPr>
            </w:pPr>
            <w:r w:rsidRPr="00235339">
              <w:rPr>
                <w:rFonts w:ascii="Arial" w:hAnsi="Arial" w:cs="Arial"/>
                <w:i/>
                <w:sz w:val="18"/>
                <w:szCs w:val="18"/>
              </w:rPr>
              <w:t>S/.</w:t>
            </w:r>
          </w:p>
        </w:tc>
        <w:tc>
          <w:tcPr>
            <w:tcW w:w="4252" w:type="dxa"/>
          </w:tcPr>
          <w:p w:rsidR="00F27A35" w:rsidRPr="00235339" w:rsidRDefault="00F27A35" w:rsidP="00FD050F">
            <w:pPr>
              <w:tabs>
                <w:tab w:val="left" w:pos="0"/>
              </w:tabs>
              <w:suppressAutoHyphens/>
              <w:ind w:left="851" w:right="282"/>
              <w:jc w:val="center"/>
              <w:rPr>
                <w:rFonts w:ascii="Tahoma" w:hAnsi="Tahoma" w:cs="Tahoma"/>
                <w:i/>
                <w:sz w:val="18"/>
                <w:szCs w:val="18"/>
              </w:rPr>
            </w:pPr>
            <w:r w:rsidRPr="00235339">
              <w:rPr>
                <w:rFonts w:ascii="Tahoma" w:hAnsi="Tahoma" w:cs="Tahoma"/>
                <w:i/>
                <w:sz w:val="18"/>
                <w:szCs w:val="18"/>
              </w:rPr>
              <w:t>51,417.00</w:t>
            </w:r>
          </w:p>
          <w:p w:rsidR="00F27A35" w:rsidRPr="00235339" w:rsidRDefault="00F27A35" w:rsidP="00FD050F">
            <w:pPr>
              <w:tabs>
                <w:tab w:val="left" w:pos="0"/>
              </w:tabs>
              <w:suppressAutoHyphens/>
              <w:ind w:left="-26" w:right="282"/>
              <w:jc w:val="center"/>
              <w:rPr>
                <w:rFonts w:ascii="Arial" w:hAnsi="Arial" w:cs="Arial"/>
                <w:i/>
                <w:sz w:val="18"/>
                <w:szCs w:val="18"/>
              </w:rPr>
            </w:pPr>
            <w:r w:rsidRPr="00235339">
              <w:rPr>
                <w:rFonts w:ascii="Arial" w:hAnsi="Arial" w:cs="Arial"/>
                <w:i/>
                <w:sz w:val="18"/>
                <w:szCs w:val="18"/>
              </w:rPr>
              <w:t>(Cincuenta y un mil cuatrocientos diecisiete  con 00/100 Nuevos Soles)</w:t>
            </w:r>
          </w:p>
        </w:tc>
      </w:tr>
      <w:tr w:rsidR="00F27A35" w:rsidRPr="00235339" w:rsidTr="00FD050F">
        <w:trPr>
          <w:trHeight w:val="505"/>
        </w:trPr>
        <w:tc>
          <w:tcPr>
            <w:tcW w:w="2202" w:type="dxa"/>
          </w:tcPr>
          <w:p w:rsidR="00F27A35" w:rsidRPr="00235339" w:rsidRDefault="00F27A35" w:rsidP="00FD050F">
            <w:pPr>
              <w:tabs>
                <w:tab w:val="left" w:pos="0"/>
              </w:tabs>
              <w:suppressAutoHyphens/>
              <w:ind w:left="110" w:right="282"/>
              <w:jc w:val="both"/>
              <w:rPr>
                <w:rFonts w:ascii="Arial" w:hAnsi="Arial" w:cs="Arial"/>
                <w:i/>
                <w:sz w:val="18"/>
                <w:szCs w:val="18"/>
              </w:rPr>
            </w:pPr>
            <w:r w:rsidRPr="00235339">
              <w:rPr>
                <w:rFonts w:ascii="Arial" w:hAnsi="Arial" w:cs="Arial"/>
                <w:i/>
                <w:sz w:val="18"/>
                <w:szCs w:val="18"/>
              </w:rPr>
              <w:t>Ítem N° 2 por la suma de</w:t>
            </w:r>
          </w:p>
        </w:tc>
        <w:tc>
          <w:tcPr>
            <w:tcW w:w="851" w:type="dxa"/>
          </w:tcPr>
          <w:p w:rsidR="00F27A35" w:rsidRPr="00235339" w:rsidRDefault="00F27A35" w:rsidP="00FD050F">
            <w:pPr>
              <w:tabs>
                <w:tab w:val="left" w:pos="0"/>
              </w:tabs>
              <w:suppressAutoHyphens/>
              <w:ind w:left="113" w:right="282"/>
              <w:jc w:val="both"/>
              <w:rPr>
                <w:rFonts w:ascii="Arial" w:hAnsi="Arial" w:cs="Arial"/>
                <w:i/>
                <w:sz w:val="18"/>
                <w:szCs w:val="18"/>
              </w:rPr>
            </w:pPr>
            <w:r w:rsidRPr="00235339">
              <w:rPr>
                <w:rFonts w:ascii="Arial" w:hAnsi="Arial" w:cs="Arial"/>
                <w:i/>
                <w:sz w:val="18"/>
                <w:szCs w:val="18"/>
              </w:rPr>
              <w:t>S/.</w:t>
            </w:r>
          </w:p>
        </w:tc>
        <w:tc>
          <w:tcPr>
            <w:tcW w:w="4252" w:type="dxa"/>
          </w:tcPr>
          <w:p w:rsidR="00F27A35" w:rsidRPr="00235339" w:rsidRDefault="00F27A35" w:rsidP="00FD050F">
            <w:pPr>
              <w:tabs>
                <w:tab w:val="left" w:pos="0"/>
              </w:tabs>
              <w:suppressAutoHyphens/>
              <w:ind w:left="851" w:right="282"/>
              <w:jc w:val="center"/>
              <w:rPr>
                <w:rFonts w:ascii="Tahoma" w:hAnsi="Tahoma" w:cs="Tahoma"/>
                <w:i/>
                <w:sz w:val="18"/>
                <w:szCs w:val="18"/>
              </w:rPr>
            </w:pPr>
            <w:r w:rsidRPr="00235339">
              <w:rPr>
                <w:rFonts w:ascii="Tahoma" w:hAnsi="Tahoma" w:cs="Tahoma"/>
                <w:i/>
                <w:sz w:val="18"/>
                <w:szCs w:val="18"/>
              </w:rPr>
              <w:t>12,784.00</w:t>
            </w:r>
          </w:p>
          <w:p w:rsidR="00F27A35" w:rsidRPr="00235339" w:rsidRDefault="00F27A35" w:rsidP="00FD050F">
            <w:pPr>
              <w:suppressAutoHyphens/>
              <w:ind w:left="-38" w:right="282"/>
              <w:jc w:val="center"/>
              <w:rPr>
                <w:rFonts w:ascii="Arial" w:hAnsi="Arial" w:cs="Arial"/>
                <w:i/>
                <w:sz w:val="18"/>
                <w:szCs w:val="18"/>
              </w:rPr>
            </w:pPr>
            <w:r w:rsidRPr="00235339">
              <w:rPr>
                <w:rFonts w:ascii="Arial" w:hAnsi="Arial" w:cs="Arial"/>
                <w:i/>
                <w:sz w:val="18"/>
                <w:szCs w:val="18"/>
              </w:rPr>
              <w:t>(Doce mil setecientos ochenta y cuatro  con 00/100 Nuevos Soles)</w:t>
            </w:r>
          </w:p>
        </w:tc>
      </w:tr>
    </w:tbl>
    <w:p w:rsidR="00F27A35" w:rsidRPr="00235339" w:rsidRDefault="00F27A35" w:rsidP="00F27A35">
      <w:pPr>
        <w:tabs>
          <w:tab w:val="left" w:pos="0"/>
        </w:tabs>
        <w:ind w:left="851" w:right="282" w:firstLine="709"/>
        <w:jc w:val="both"/>
        <w:rPr>
          <w:rFonts w:ascii="Tahoma" w:hAnsi="Tahoma" w:cs="Tahoma"/>
          <w:i/>
          <w:sz w:val="18"/>
          <w:szCs w:val="18"/>
        </w:rPr>
      </w:pPr>
    </w:p>
    <w:p w:rsidR="00F27A35" w:rsidRPr="00235339" w:rsidRDefault="00F27A35" w:rsidP="00F27A35">
      <w:pPr>
        <w:tabs>
          <w:tab w:val="left" w:pos="0"/>
        </w:tabs>
        <w:ind w:left="851" w:right="282"/>
        <w:jc w:val="both"/>
        <w:rPr>
          <w:rFonts w:ascii="Tahoma" w:hAnsi="Tahoma" w:cs="Tahoma"/>
          <w:i/>
          <w:sz w:val="18"/>
          <w:szCs w:val="18"/>
        </w:rPr>
      </w:pPr>
      <w:r w:rsidRPr="00235339">
        <w:rPr>
          <w:rFonts w:ascii="Tahoma" w:hAnsi="Tahoma" w:cs="Tahoma"/>
          <w:i/>
          <w:sz w:val="18"/>
          <w:szCs w:val="18"/>
        </w:rPr>
        <w:t xml:space="preserve">Nota: </w:t>
      </w:r>
      <w:smartTag w:uri="urn:schemas-microsoft-com:office:smarttags" w:element="PersonName">
        <w:smartTagPr>
          <w:attr w:name="ProductID" w:val="la Carta Fianza"/>
        </w:smartTagPr>
        <w:smartTag w:uri="urn:schemas-microsoft-com:office:smarttags" w:element="PersonName">
          <w:smartTagPr>
            <w:attr w:name="ProductID" w:val="la Carta"/>
          </w:smartTagPr>
          <w:r w:rsidRPr="00235339">
            <w:rPr>
              <w:rFonts w:ascii="Tahoma" w:hAnsi="Tahoma" w:cs="Tahoma"/>
              <w:i/>
              <w:sz w:val="18"/>
              <w:szCs w:val="18"/>
            </w:rPr>
            <w:t>La Carta</w:t>
          </w:r>
        </w:smartTag>
        <w:r w:rsidRPr="00235339">
          <w:rPr>
            <w:rFonts w:ascii="Tahoma" w:hAnsi="Tahoma" w:cs="Tahoma"/>
            <w:i/>
            <w:sz w:val="18"/>
            <w:szCs w:val="18"/>
          </w:rPr>
          <w:t xml:space="preserve"> Fianza</w:t>
        </w:r>
      </w:smartTag>
      <w:r w:rsidRPr="00235339">
        <w:rPr>
          <w:rFonts w:ascii="Tahoma" w:hAnsi="Tahoma" w:cs="Tahoma"/>
          <w:i/>
          <w:sz w:val="18"/>
          <w:szCs w:val="18"/>
        </w:rPr>
        <w:t xml:space="preserve"> debe señalar expresamente que corresponde a </w:t>
      </w:r>
      <w:smartTag w:uri="urn:schemas-microsoft-com:office:smarttags" w:element="PersonName">
        <w:smartTagPr>
          <w:attr w:name="ProductID" w:val="la Garant￭a"/>
        </w:smartTagPr>
        <w:r w:rsidRPr="00235339">
          <w:rPr>
            <w:rFonts w:ascii="Tahoma" w:hAnsi="Tahoma" w:cs="Tahoma"/>
            <w:i/>
            <w:sz w:val="18"/>
            <w:szCs w:val="18"/>
          </w:rPr>
          <w:t>la Garantía</w:t>
        </w:r>
      </w:smartTag>
      <w:r w:rsidRPr="00235339">
        <w:rPr>
          <w:rFonts w:ascii="Tahoma" w:hAnsi="Tahoma" w:cs="Tahoma"/>
          <w:i/>
          <w:sz w:val="18"/>
          <w:szCs w:val="18"/>
        </w:rPr>
        <w:t xml:space="preserve"> de Seriedad de </w:t>
      </w:r>
      <w:smartTag w:uri="urn:schemas-microsoft-com:office:smarttags" w:element="PersonName">
        <w:smartTagPr>
          <w:attr w:name="ProductID" w:val="la Oferta"/>
        </w:smartTagPr>
        <w:r w:rsidRPr="00235339">
          <w:rPr>
            <w:rFonts w:ascii="Tahoma" w:hAnsi="Tahoma" w:cs="Tahoma"/>
            <w:i/>
            <w:sz w:val="18"/>
            <w:szCs w:val="18"/>
          </w:rPr>
          <w:t>la Oferta</w:t>
        </w:r>
      </w:smartTag>
      <w:r w:rsidRPr="00235339">
        <w:rPr>
          <w:rFonts w:ascii="Tahoma" w:hAnsi="Tahoma" w:cs="Tahoma"/>
          <w:i/>
          <w:sz w:val="18"/>
          <w:szCs w:val="18"/>
        </w:rPr>
        <w:t>, denominación y número del proceso de selección.</w:t>
      </w:r>
    </w:p>
    <w:p w:rsidR="00F27A35" w:rsidRPr="00235339" w:rsidRDefault="00F27A35" w:rsidP="00F27A35">
      <w:pPr>
        <w:tabs>
          <w:tab w:val="left" w:pos="0"/>
        </w:tabs>
        <w:ind w:left="851" w:right="282"/>
        <w:jc w:val="both"/>
        <w:rPr>
          <w:rFonts w:ascii="Tahoma" w:hAnsi="Tahoma" w:cs="Tahoma"/>
          <w:i/>
          <w:sz w:val="18"/>
          <w:szCs w:val="18"/>
        </w:rPr>
      </w:pPr>
    </w:p>
    <w:p w:rsidR="00F27A35" w:rsidRPr="00235339" w:rsidRDefault="00F27A35" w:rsidP="00F27A35">
      <w:pPr>
        <w:tabs>
          <w:tab w:val="left" w:pos="0"/>
        </w:tabs>
        <w:ind w:left="851" w:right="282"/>
        <w:jc w:val="both"/>
        <w:rPr>
          <w:rFonts w:ascii="Tahoma" w:hAnsi="Tahoma" w:cs="Tahoma"/>
          <w:i/>
          <w:sz w:val="18"/>
          <w:szCs w:val="18"/>
        </w:rPr>
      </w:pPr>
      <w:r w:rsidRPr="00235339">
        <w:rPr>
          <w:rFonts w:ascii="Tahoma" w:hAnsi="Tahoma" w:cs="Tahoma"/>
          <w:i/>
          <w:sz w:val="18"/>
          <w:szCs w:val="18"/>
        </w:rPr>
        <w:t>El plazo de vigencia de la garantía de seriedad de oferta no podrá ser menor a dos (2) meses, computados a partir del día siguiente de la presentación de las propuestas. Esta garantía puede ser renovada y deberá cumplir con los requisitos establecidos en el artículo 155° del Reglamento.”</w:t>
      </w:r>
    </w:p>
    <w:p w:rsidR="00F27A35" w:rsidRDefault="00F27A35" w:rsidP="00F27A35">
      <w:pPr>
        <w:ind w:left="567"/>
        <w:jc w:val="both"/>
        <w:rPr>
          <w:rFonts w:ascii="Tahoma" w:hAnsi="Tahoma" w:cs="Tahoma"/>
        </w:rPr>
      </w:pPr>
    </w:p>
    <w:p w:rsidR="00F27A35" w:rsidRPr="004B1D10" w:rsidRDefault="00F27A35" w:rsidP="00F27A35">
      <w:pPr>
        <w:numPr>
          <w:ilvl w:val="0"/>
          <w:numId w:val="15"/>
        </w:numPr>
        <w:tabs>
          <w:tab w:val="left" w:pos="567"/>
        </w:tabs>
        <w:autoSpaceDE w:val="0"/>
        <w:autoSpaceDN w:val="0"/>
        <w:adjustRightInd w:val="0"/>
        <w:ind w:left="567" w:hanging="567"/>
        <w:jc w:val="both"/>
        <w:rPr>
          <w:rFonts w:ascii="Tahoma" w:hAnsi="Tahoma" w:cs="Tahoma"/>
          <w:sz w:val="22"/>
          <w:szCs w:val="22"/>
        </w:rPr>
      </w:pPr>
      <w:r w:rsidRPr="004B1D10">
        <w:rPr>
          <w:rFonts w:ascii="Tahoma" w:hAnsi="Tahoma" w:cs="Tahoma"/>
          <w:sz w:val="22"/>
          <w:szCs w:val="22"/>
        </w:rPr>
        <w:t>Por otra parte, el numeral 2 del artículo 42 del Reglamento establece lo siguiente:</w:t>
      </w:r>
    </w:p>
    <w:p w:rsidR="00F27A35" w:rsidRDefault="00F27A35" w:rsidP="00F27A35">
      <w:pPr>
        <w:tabs>
          <w:tab w:val="left" w:pos="567"/>
        </w:tabs>
        <w:autoSpaceDE w:val="0"/>
        <w:autoSpaceDN w:val="0"/>
        <w:adjustRightInd w:val="0"/>
        <w:ind w:left="567"/>
        <w:jc w:val="both"/>
        <w:rPr>
          <w:rFonts w:ascii="Tahoma" w:hAnsi="Tahoma" w:cs="Tahoma"/>
        </w:rPr>
      </w:pPr>
    </w:p>
    <w:p w:rsidR="00F27A35" w:rsidRDefault="00F27A35" w:rsidP="00F27A35">
      <w:pPr>
        <w:tabs>
          <w:tab w:val="left" w:pos="567"/>
        </w:tabs>
        <w:autoSpaceDE w:val="0"/>
        <w:autoSpaceDN w:val="0"/>
        <w:adjustRightInd w:val="0"/>
        <w:ind w:left="567"/>
        <w:jc w:val="both"/>
        <w:rPr>
          <w:rFonts w:ascii="Tahoma" w:hAnsi="Tahoma" w:cs="Tahoma"/>
        </w:rPr>
      </w:pPr>
      <w:r>
        <w:rPr>
          <w:rFonts w:ascii="Tahoma" w:hAnsi="Tahoma" w:cs="Tahoma"/>
        </w:rPr>
        <w:t>(…)</w:t>
      </w:r>
    </w:p>
    <w:p w:rsidR="00F27A35" w:rsidRPr="0035403E" w:rsidRDefault="00F27A35" w:rsidP="00F27A35">
      <w:pPr>
        <w:tabs>
          <w:tab w:val="left" w:pos="567"/>
        </w:tabs>
        <w:autoSpaceDE w:val="0"/>
        <w:autoSpaceDN w:val="0"/>
        <w:adjustRightInd w:val="0"/>
        <w:ind w:left="567"/>
        <w:jc w:val="both"/>
        <w:rPr>
          <w:rFonts w:ascii="Tahoma" w:hAnsi="Tahoma" w:cs="Tahoma"/>
          <w:sz w:val="18"/>
          <w:szCs w:val="18"/>
        </w:rPr>
      </w:pPr>
    </w:p>
    <w:p w:rsidR="00F27A35" w:rsidRPr="0035403E" w:rsidRDefault="00F27A35" w:rsidP="00F27A35">
      <w:pPr>
        <w:tabs>
          <w:tab w:val="left" w:pos="567"/>
        </w:tabs>
        <w:autoSpaceDE w:val="0"/>
        <w:autoSpaceDN w:val="0"/>
        <w:adjustRightInd w:val="0"/>
        <w:ind w:left="567"/>
        <w:jc w:val="both"/>
        <w:rPr>
          <w:rFonts w:ascii="Tahoma" w:hAnsi="Tahoma" w:cs="Tahoma"/>
          <w:i/>
          <w:sz w:val="18"/>
          <w:szCs w:val="18"/>
        </w:rPr>
      </w:pPr>
      <w:r w:rsidRPr="0035403E">
        <w:rPr>
          <w:rFonts w:ascii="Tahoma" w:hAnsi="Tahoma" w:cs="Tahoma"/>
          <w:i/>
          <w:sz w:val="18"/>
          <w:szCs w:val="18"/>
        </w:rPr>
        <w:t>“2. Propuesta Económica:</w:t>
      </w:r>
    </w:p>
    <w:p w:rsidR="00F27A35" w:rsidRPr="0035403E" w:rsidRDefault="00F27A35" w:rsidP="00F27A35">
      <w:pPr>
        <w:tabs>
          <w:tab w:val="left" w:pos="851"/>
        </w:tabs>
        <w:autoSpaceDE w:val="0"/>
        <w:autoSpaceDN w:val="0"/>
        <w:adjustRightInd w:val="0"/>
        <w:ind w:left="851" w:hanging="284"/>
        <w:jc w:val="both"/>
        <w:rPr>
          <w:rFonts w:ascii="Tahoma" w:hAnsi="Tahoma" w:cs="Tahoma"/>
          <w:i/>
          <w:sz w:val="18"/>
          <w:szCs w:val="18"/>
        </w:rPr>
      </w:pPr>
      <w:r w:rsidRPr="0035403E">
        <w:rPr>
          <w:rFonts w:ascii="Tahoma" w:hAnsi="Tahoma" w:cs="Tahoma"/>
          <w:i/>
          <w:sz w:val="18"/>
          <w:szCs w:val="18"/>
        </w:rPr>
        <w:t>a) Oferta económica y el detalle de precios unitarios cuando este sistema haya sido establecido en las Bases.</w:t>
      </w:r>
    </w:p>
    <w:p w:rsidR="00F27A35" w:rsidRPr="0035403E" w:rsidRDefault="00F27A35" w:rsidP="00F27A35">
      <w:pPr>
        <w:tabs>
          <w:tab w:val="left" w:pos="851"/>
        </w:tabs>
        <w:autoSpaceDE w:val="0"/>
        <w:autoSpaceDN w:val="0"/>
        <w:adjustRightInd w:val="0"/>
        <w:ind w:left="851" w:hanging="284"/>
        <w:jc w:val="both"/>
        <w:rPr>
          <w:rFonts w:ascii="Tahoma" w:hAnsi="Tahoma" w:cs="Tahoma"/>
          <w:sz w:val="18"/>
          <w:szCs w:val="18"/>
        </w:rPr>
      </w:pPr>
      <w:r w:rsidRPr="0035403E">
        <w:rPr>
          <w:rFonts w:ascii="Tahoma" w:hAnsi="Tahoma" w:cs="Tahoma"/>
          <w:i/>
          <w:sz w:val="18"/>
          <w:szCs w:val="18"/>
        </w:rPr>
        <w:t>b) Garantía de seriedad de oferta, cuando corresponda</w:t>
      </w:r>
      <w:r w:rsidRPr="0035403E">
        <w:rPr>
          <w:rFonts w:ascii="Tahoma" w:hAnsi="Tahoma" w:cs="Tahoma"/>
          <w:sz w:val="18"/>
          <w:szCs w:val="18"/>
        </w:rPr>
        <w:t>”.</w:t>
      </w:r>
    </w:p>
    <w:p w:rsidR="00F27A35" w:rsidRDefault="00F27A35" w:rsidP="00F27A35">
      <w:pPr>
        <w:ind w:left="567"/>
        <w:jc w:val="both"/>
        <w:rPr>
          <w:rFonts w:ascii="Tahoma" w:hAnsi="Tahoma" w:cs="Tahoma"/>
        </w:rPr>
      </w:pPr>
    </w:p>
    <w:p w:rsidR="00F27A35" w:rsidRPr="004B1D10" w:rsidRDefault="00F27A35" w:rsidP="00F27A35">
      <w:pPr>
        <w:numPr>
          <w:ilvl w:val="0"/>
          <w:numId w:val="15"/>
        </w:numPr>
        <w:tabs>
          <w:tab w:val="left" w:pos="567"/>
        </w:tabs>
        <w:autoSpaceDE w:val="0"/>
        <w:autoSpaceDN w:val="0"/>
        <w:adjustRightInd w:val="0"/>
        <w:ind w:left="567" w:hanging="567"/>
        <w:jc w:val="both"/>
        <w:rPr>
          <w:rFonts w:ascii="Tahoma" w:hAnsi="Tahoma" w:cs="Tahoma"/>
          <w:sz w:val="22"/>
          <w:szCs w:val="22"/>
        </w:rPr>
      </w:pPr>
      <w:r w:rsidRPr="004B1D10">
        <w:rPr>
          <w:rFonts w:ascii="Tahoma" w:hAnsi="Tahoma" w:cs="Tahoma"/>
          <w:sz w:val="22"/>
          <w:szCs w:val="22"/>
        </w:rPr>
        <w:t>Asimismo, la parte in fine del artículo 68 del Reglamento establece que no cabe subsanación alguna por omisiones o errores en la propuesta económica, salvo defectos de foliación y de rúbrica de cada uno de los folios que componen la oferta, sin perjuicio de lo dispuesto en el inciso 5) del artículo 71.</w:t>
      </w:r>
    </w:p>
    <w:p w:rsidR="00F27A35" w:rsidRPr="004B1D10" w:rsidRDefault="00F27A35" w:rsidP="00F27A35">
      <w:pPr>
        <w:ind w:left="567"/>
        <w:jc w:val="both"/>
        <w:rPr>
          <w:rFonts w:ascii="Tahoma" w:hAnsi="Tahoma" w:cs="Tahoma"/>
          <w:sz w:val="22"/>
          <w:szCs w:val="22"/>
        </w:rPr>
      </w:pPr>
    </w:p>
    <w:p w:rsidR="00F27A35" w:rsidRPr="004B1D10" w:rsidRDefault="00F27A35" w:rsidP="00F27A35">
      <w:pPr>
        <w:numPr>
          <w:ilvl w:val="0"/>
          <w:numId w:val="15"/>
        </w:numPr>
        <w:tabs>
          <w:tab w:val="left" w:pos="567"/>
        </w:tabs>
        <w:autoSpaceDE w:val="0"/>
        <w:autoSpaceDN w:val="0"/>
        <w:adjustRightInd w:val="0"/>
        <w:ind w:left="567" w:hanging="567"/>
        <w:jc w:val="both"/>
        <w:rPr>
          <w:rFonts w:ascii="Tahoma" w:hAnsi="Tahoma" w:cs="Tahoma"/>
          <w:sz w:val="22"/>
          <w:szCs w:val="22"/>
        </w:rPr>
      </w:pPr>
      <w:r w:rsidRPr="004B1D10">
        <w:rPr>
          <w:rFonts w:ascii="Tahoma" w:hAnsi="Tahoma" w:cs="Tahoma"/>
          <w:sz w:val="22"/>
          <w:szCs w:val="22"/>
        </w:rPr>
        <w:t>Ahora bien, el artículo 157 del Reglamento indica lo siguiente:</w:t>
      </w:r>
    </w:p>
    <w:p w:rsidR="00F27A35" w:rsidRPr="00C7720C" w:rsidRDefault="00F27A35" w:rsidP="00F27A35">
      <w:pPr>
        <w:pStyle w:val="Prrafodelista"/>
        <w:rPr>
          <w:rFonts w:ascii="Tahoma" w:hAnsi="Tahoma" w:cs="Tahoma"/>
        </w:rPr>
      </w:pPr>
    </w:p>
    <w:p w:rsidR="00F27A35" w:rsidRPr="0035403E" w:rsidRDefault="00F27A35" w:rsidP="00F27A35">
      <w:pPr>
        <w:ind w:left="567"/>
        <w:jc w:val="both"/>
        <w:rPr>
          <w:rFonts w:ascii="Tahoma" w:hAnsi="Tahoma" w:cs="Tahoma"/>
          <w:i/>
          <w:sz w:val="18"/>
          <w:szCs w:val="18"/>
        </w:rPr>
      </w:pPr>
      <w:r w:rsidRPr="0035403E">
        <w:rPr>
          <w:rFonts w:ascii="Tahoma" w:hAnsi="Tahoma" w:cs="Tahoma"/>
          <w:sz w:val="18"/>
          <w:szCs w:val="18"/>
        </w:rPr>
        <w:t>“</w:t>
      </w:r>
      <w:r w:rsidRPr="0035403E">
        <w:rPr>
          <w:rFonts w:ascii="Tahoma" w:hAnsi="Tahoma" w:cs="Tahoma"/>
          <w:i/>
          <w:sz w:val="18"/>
          <w:szCs w:val="18"/>
        </w:rPr>
        <w:t>En los procesos de Licitación Pública, Concurso Público y Adjudicación Directa, los postores deberán presentar la garantía de seriedad de oferta, la misma que tiene por finalidad garantizar la vigencia de la oferta. El postor que resulte ganador de la buena pro y el segundo lugar están obligados a mantener su vigencia hasta la suscripción del contrato.</w:t>
      </w:r>
    </w:p>
    <w:p w:rsidR="00F27A35" w:rsidRPr="0035403E" w:rsidRDefault="00F27A35" w:rsidP="00F27A35">
      <w:pPr>
        <w:ind w:left="567"/>
        <w:jc w:val="both"/>
        <w:rPr>
          <w:rFonts w:ascii="Tahoma" w:hAnsi="Tahoma" w:cs="Tahoma"/>
          <w:i/>
          <w:sz w:val="18"/>
          <w:szCs w:val="18"/>
        </w:rPr>
      </w:pPr>
      <w:r w:rsidRPr="0035403E">
        <w:rPr>
          <w:rFonts w:ascii="Tahoma" w:hAnsi="Tahoma" w:cs="Tahoma"/>
          <w:i/>
          <w:sz w:val="18"/>
          <w:szCs w:val="18"/>
        </w:rPr>
        <w:t>Luego de consentida la Buena Pro, la Entidad devolverá las garantías presentadas por los postores que no resultaron ganadores de la Buena Pro, con excepción del que ocupó el segundo lugar y de aquellos que decidan mantenerlas vigentes hasta la suscripción del contrato.</w:t>
      </w:r>
    </w:p>
    <w:p w:rsidR="00F27A35" w:rsidRPr="0035403E" w:rsidRDefault="00F27A35" w:rsidP="00F27A35">
      <w:pPr>
        <w:ind w:left="567"/>
        <w:jc w:val="both"/>
        <w:rPr>
          <w:rFonts w:ascii="Tahoma" w:hAnsi="Tahoma" w:cs="Tahoma"/>
          <w:i/>
          <w:sz w:val="18"/>
          <w:szCs w:val="18"/>
        </w:rPr>
      </w:pPr>
      <w:r w:rsidRPr="0035403E">
        <w:rPr>
          <w:rFonts w:ascii="Tahoma" w:hAnsi="Tahoma" w:cs="Tahoma"/>
          <w:i/>
          <w:sz w:val="18"/>
          <w:szCs w:val="18"/>
        </w:rPr>
        <w:t>El monto de la garantía de seriedad de oferta será establecido en las Bases, en ningún caso será menor al uno por ciento (1%) ni mayor al dos por ciento (2%) del valor referencial. En el caso de proceso de selección con valor referencial reservado, dicho monto se efectuará en función a la oferta económica.</w:t>
      </w:r>
    </w:p>
    <w:p w:rsidR="00F27A35" w:rsidRPr="0035403E" w:rsidRDefault="00F27A35" w:rsidP="00F27A35">
      <w:pPr>
        <w:ind w:left="567"/>
        <w:jc w:val="both"/>
        <w:rPr>
          <w:rFonts w:ascii="Tahoma" w:hAnsi="Tahoma" w:cs="Tahoma"/>
          <w:i/>
          <w:sz w:val="18"/>
          <w:szCs w:val="18"/>
        </w:rPr>
      </w:pPr>
      <w:r w:rsidRPr="0035403E">
        <w:rPr>
          <w:rFonts w:ascii="Tahoma" w:hAnsi="Tahoma" w:cs="Tahoma"/>
          <w:i/>
          <w:sz w:val="18"/>
          <w:szCs w:val="18"/>
        </w:rPr>
        <w:t>En las adjudicaciones de Menor Cuantía o en los procesos de selección según relación de ítems cuando el valor referencial del ítem corresponda a una Adjudicación de Menor Cuantía, bastará que el postor presente en su propuesta técnica una declaración jurada donde se comprometa a mantener vigente su oferta hasta la suscripción del contrato.</w:t>
      </w:r>
    </w:p>
    <w:p w:rsidR="00F27A35" w:rsidRPr="0035403E" w:rsidRDefault="00F27A35" w:rsidP="00F27A35">
      <w:pPr>
        <w:ind w:left="567"/>
        <w:jc w:val="both"/>
        <w:rPr>
          <w:rFonts w:ascii="Tahoma" w:hAnsi="Tahoma" w:cs="Tahoma"/>
          <w:i/>
          <w:sz w:val="18"/>
          <w:szCs w:val="18"/>
        </w:rPr>
      </w:pPr>
      <w:r w:rsidRPr="0035403E">
        <w:rPr>
          <w:rFonts w:ascii="Tahoma" w:hAnsi="Tahoma" w:cs="Tahoma"/>
          <w:i/>
          <w:sz w:val="18"/>
          <w:szCs w:val="18"/>
        </w:rPr>
        <w:t>La falta de renovación de la garantía genera la descalificación de la oferta económica o, en su caso, que se deje sin efecto la Buena Pro otorgada.</w:t>
      </w:r>
    </w:p>
    <w:p w:rsidR="00F27A35" w:rsidRPr="0035403E" w:rsidRDefault="00F27A35" w:rsidP="00F27A35">
      <w:pPr>
        <w:ind w:left="567"/>
        <w:jc w:val="both"/>
        <w:rPr>
          <w:rFonts w:ascii="Tahoma" w:hAnsi="Tahoma" w:cs="Tahoma"/>
          <w:b/>
          <w:i/>
          <w:sz w:val="18"/>
          <w:szCs w:val="18"/>
          <w:u w:val="single"/>
        </w:rPr>
      </w:pPr>
      <w:r w:rsidRPr="0035403E">
        <w:rPr>
          <w:rFonts w:ascii="Tahoma" w:hAnsi="Tahoma" w:cs="Tahoma"/>
          <w:b/>
          <w:i/>
          <w:sz w:val="18"/>
          <w:szCs w:val="18"/>
          <w:u w:val="single"/>
        </w:rPr>
        <w:t>El plazo de vigencia de la garantía de seriedad de la oferta no podrá ser menor a dos (2) meses, computados a partir del día siguiente a la presentación de propuestas. Estas garantías pueden ser renovadas.</w:t>
      </w:r>
    </w:p>
    <w:p w:rsidR="00F27A35" w:rsidRPr="0035403E" w:rsidRDefault="00F27A35" w:rsidP="00F27A35">
      <w:pPr>
        <w:ind w:left="567"/>
        <w:jc w:val="both"/>
        <w:rPr>
          <w:rFonts w:ascii="Tahoma" w:hAnsi="Tahoma" w:cs="Tahoma"/>
          <w:i/>
          <w:sz w:val="18"/>
          <w:szCs w:val="18"/>
        </w:rPr>
      </w:pPr>
      <w:r w:rsidRPr="0035403E">
        <w:rPr>
          <w:rFonts w:ascii="Tahoma" w:hAnsi="Tahoma" w:cs="Tahoma"/>
          <w:i/>
          <w:sz w:val="18"/>
          <w:szCs w:val="18"/>
        </w:rPr>
        <w:t>Si, una vez otorgada la buena pro, el postor adjudicatario no cumple con renovar su garantía se ejecutará en su totalidad. Una vez suscrito el contrato el monto de la garantía será devuelto al postor, sin dar lugar al pago de intereses.</w:t>
      </w:r>
    </w:p>
    <w:p w:rsidR="00F27A35" w:rsidRPr="0035403E" w:rsidRDefault="00F27A35" w:rsidP="00F27A35">
      <w:pPr>
        <w:ind w:left="567"/>
        <w:jc w:val="both"/>
        <w:rPr>
          <w:rFonts w:ascii="Tahoma" w:hAnsi="Tahoma" w:cs="Tahoma"/>
          <w:sz w:val="18"/>
          <w:szCs w:val="18"/>
        </w:rPr>
      </w:pPr>
      <w:r w:rsidRPr="0035403E">
        <w:rPr>
          <w:rFonts w:ascii="Tahoma" w:hAnsi="Tahoma" w:cs="Tahoma"/>
          <w:i/>
          <w:sz w:val="18"/>
          <w:szCs w:val="18"/>
        </w:rPr>
        <w:t>(…)</w:t>
      </w:r>
      <w:r w:rsidRPr="0035403E">
        <w:rPr>
          <w:rFonts w:ascii="Tahoma" w:hAnsi="Tahoma" w:cs="Tahoma"/>
          <w:sz w:val="18"/>
          <w:szCs w:val="18"/>
        </w:rPr>
        <w:t>”</w:t>
      </w:r>
    </w:p>
    <w:p w:rsidR="00F27A35" w:rsidRDefault="00F27A35" w:rsidP="00F27A35">
      <w:pPr>
        <w:ind w:left="567"/>
        <w:jc w:val="both"/>
        <w:rPr>
          <w:rFonts w:ascii="Tahoma" w:hAnsi="Tahoma" w:cs="Tahoma"/>
        </w:rPr>
      </w:pPr>
    </w:p>
    <w:p w:rsidR="00F27A35" w:rsidRPr="004B1D10" w:rsidRDefault="00F27A35" w:rsidP="00F27A35">
      <w:pPr>
        <w:numPr>
          <w:ilvl w:val="0"/>
          <w:numId w:val="15"/>
        </w:numPr>
        <w:tabs>
          <w:tab w:val="left" w:pos="567"/>
        </w:tabs>
        <w:autoSpaceDE w:val="0"/>
        <w:autoSpaceDN w:val="0"/>
        <w:adjustRightInd w:val="0"/>
        <w:ind w:left="567" w:hanging="567"/>
        <w:jc w:val="both"/>
        <w:rPr>
          <w:rFonts w:ascii="Tahoma" w:hAnsi="Tahoma" w:cs="Tahoma"/>
          <w:sz w:val="22"/>
          <w:szCs w:val="22"/>
        </w:rPr>
      </w:pPr>
      <w:r w:rsidRPr="004B1D10">
        <w:rPr>
          <w:rFonts w:ascii="Tahoma" w:hAnsi="Tahoma" w:cs="Tahoma"/>
          <w:sz w:val="22"/>
          <w:szCs w:val="22"/>
        </w:rPr>
        <w:t>Con relación a lo expresado en el párrafo anterior, se advierte claramente que la norma dispone que los postores deberán presentar una garantía de seriedad de oferta, la misma que tiene por finalidad garantizar la vigencia de la oferta. Asimismo, las Bases Integradas han establecido que la Carta Fianza que garantiza la vigencia de la oferta de los postores, debe señalar expresamente que corresponde a la Garantía de Seriedad de la Oferta, denominación y número del proceso de selección.</w:t>
      </w:r>
    </w:p>
    <w:p w:rsidR="00F27A35" w:rsidRPr="004B1D10" w:rsidRDefault="00F27A35" w:rsidP="00F27A35">
      <w:pPr>
        <w:tabs>
          <w:tab w:val="left" w:pos="567"/>
        </w:tabs>
        <w:autoSpaceDE w:val="0"/>
        <w:autoSpaceDN w:val="0"/>
        <w:adjustRightInd w:val="0"/>
        <w:ind w:left="567"/>
        <w:jc w:val="both"/>
        <w:rPr>
          <w:rFonts w:ascii="Tahoma" w:hAnsi="Tahoma" w:cs="Tahoma"/>
          <w:sz w:val="22"/>
          <w:szCs w:val="22"/>
        </w:rPr>
      </w:pPr>
    </w:p>
    <w:p w:rsidR="00F27A35" w:rsidRPr="004B1D10" w:rsidRDefault="00F27A35" w:rsidP="00F27A35">
      <w:pPr>
        <w:numPr>
          <w:ilvl w:val="0"/>
          <w:numId w:val="15"/>
        </w:numPr>
        <w:tabs>
          <w:tab w:val="left" w:pos="567"/>
        </w:tabs>
        <w:autoSpaceDE w:val="0"/>
        <w:autoSpaceDN w:val="0"/>
        <w:adjustRightInd w:val="0"/>
        <w:ind w:left="567" w:hanging="567"/>
        <w:jc w:val="both"/>
        <w:rPr>
          <w:rFonts w:ascii="Tahoma" w:hAnsi="Tahoma" w:cs="Tahoma"/>
          <w:sz w:val="22"/>
          <w:szCs w:val="22"/>
        </w:rPr>
      </w:pPr>
      <w:r w:rsidRPr="004B1D10">
        <w:rPr>
          <w:rFonts w:ascii="Tahoma" w:hAnsi="Tahoma" w:cs="Tahoma"/>
          <w:sz w:val="22"/>
          <w:szCs w:val="22"/>
        </w:rPr>
        <w:t>En el caso que nos convoca, se aprecia que el Impugnante presentó como parte de su propuesta económica, dos cartas fianzas de fecha 22 de diciembre de 2010, en la que se consignó lo siguiente:</w:t>
      </w:r>
    </w:p>
    <w:p w:rsidR="00F27A35" w:rsidRDefault="00F27A35" w:rsidP="00F27A35">
      <w:pPr>
        <w:pStyle w:val="Prrafodelista"/>
        <w:rPr>
          <w:rFonts w:ascii="Tahoma" w:hAnsi="Tahoma" w:cs="Tahoma"/>
        </w:rPr>
      </w:pPr>
    </w:p>
    <w:p w:rsidR="00F27A35" w:rsidRDefault="00F27A35" w:rsidP="00F27A35">
      <w:pPr>
        <w:pStyle w:val="Prrafodelista"/>
        <w:ind w:left="567"/>
        <w:rPr>
          <w:rFonts w:ascii="Tahoma" w:hAnsi="Tahoma" w:cs="Tahoma"/>
        </w:rPr>
      </w:pPr>
      <w:r>
        <w:rPr>
          <w:rFonts w:ascii="Tahoma" w:hAnsi="Tahoma" w:cs="Tahoma"/>
        </w:rPr>
        <w:t xml:space="preserve"> (…)</w:t>
      </w:r>
    </w:p>
    <w:p w:rsidR="00F27A35" w:rsidRDefault="00F27A35" w:rsidP="00F27A35">
      <w:pPr>
        <w:pStyle w:val="Prrafodelista"/>
        <w:rPr>
          <w:rFonts w:ascii="Tahoma" w:hAnsi="Tahoma" w:cs="Tahoma"/>
        </w:rPr>
      </w:pPr>
    </w:p>
    <w:p w:rsidR="00F27A35" w:rsidRPr="00852A07" w:rsidRDefault="00F27A35" w:rsidP="00F27A35">
      <w:pPr>
        <w:autoSpaceDE w:val="0"/>
        <w:autoSpaceDN w:val="0"/>
        <w:adjustRightInd w:val="0"/>
        <w:ind w:left="567"/>
        <w:jc w:val="both"/>
        <w:rPr>
          <w:rFonts w:ascii="Tahoma" w:hAnsi="Tahoma" w:cs="Tahoma"/>
          <w:i/>
          <w:sz w:val="18"/>
          <w:szCs w:val="18"/>
        </w:rPr>
      </w:pPr>
      <w:r w:rsidRPr="00852A07">
        <w:rPr>
          <w:rFonts w:ascii="Tahoma" w:hAnsi="Tahoma" w:cs="Tahoma"/>
          <w:i/>
          <w:sz w:val="18"/>
          <w:szCs w:val="18"/>
        </w:rPr>
        <w:t>Carta Fianza Nº:</w:t>
      </w:r>
      <w:r w:rsidRPr="00852A07">
        <w:rPr>
          <w:rFonts w:ascii="Tahoma" w:hAnsi="Tahoma" w:cs="Tahoma"/>
          <w:i/>
          <w:sz w:val="18"/>
          <w:szCs w:val="18"/>
        </w:rPr>
        <w:tab/>
        <w:t>010239139 000</w:t>
      </w:r>
    </w:p>
    <w:p w:rsidR="00F27A35" w:rsidRPr="00852A07" w:rsidRDefault="00F27A35" w:rsidP="00F27A35">
      <w:pPr>
        <w:rPr>
          <w:rFonts w:ascii="Tahoma" w:hAnsi="Tahoma" w:cs="Tahoma"/>
          <w:i/>
          <w:sz w:val="18"/>
          <w:szCs w:val="18"/>
        </w:rPr>
      </w:pPr>
    </w:p>
    <w:p w:rsidR="00F27A35" w:rsidRPr="00852A07" w:rsidRDefault="00F27A35" w:rsidP="00F27A35">
      <w:pPr>
        <w:autoSpaceDE w:val="0"/>
        <w:autoSpaceDN w:val="0"/>
        <w:adjustRightInd w:val="0"/>
        <w:ind w:left="567"/>
        <w:jc w:val="both"/>
        <w:rPr>
          <w:rFonts w:ascii="Tahoma" w:hAnsi="Tahoma" w:cs="Tahoma"/>
          <w:i/>
          <w:sz w:val="18"/>
          <w:szCs w:val="18"/>
        </w:rPr>
      </w:pPr>
      <w:r w:rsidRPr="00852A07">
        <w:rPr>
          <w:rFonts w:ascii="Tahoma" w:hAnsi="Tahoma" w:cs="Tahoma"/>
          <w:i/>
          <w:sz w:val="18"/>
          <w:szCs w:val="18"/>
        </w:rPr>
        <w:t>Señores:</w:t>
      </w:r>
      <w:r w:rsidRPr="00852A07">
        <w:rPr>
          <w:rFonts w:ascii="Tahoma" w:hAnsi="Tahoma" w:cs="Tahoma"/>
          <w:i/>
          <w:sz w:val="18"/>
          <w:szCs w:val="18"/>
        </w:rPr>
        <w:tab/>
      </w:r>
      <w:r w:rsidRPr="00852A07">
        <w:rPr>
          <w:rFonts w:ascii="Tahoma" w:hAnsi="Tahoma" w:cs="Tahoma"/>
          <w:i/>
          <w:sz w:val="18"/>
          <w:szCs w:val="18"/>
        </w:rPr>
        <w:tab/>
        <w:t>Banco de la Nación</w:t>
      </w:r>
    </w:p>
    <w:p w:rsidR="00F27A35" w:rsidRPr="00852A07" w:rsidRDefault="00F27A35" w:rsidP="00F27A35">
      <w:pPr>
        <w:autoSpaceDE w:val="0"/>
        <w:autoSpaceDN w:val="0"/>
        <w:adjustRightInd w:val="0"/>
        <w:ind w:left="567"/>
        <w:jc w:val="both"/>
        <w:rPr>
          <w:rFonts w:ascii="Tahoma" w:hAnsi="Tahoma" w:cs="Tahoma"/>
          <w:i/>
          <w:sz w:val="18"/>
          <w:szCs w:val="18"/>
        </w:rPr>
      </w:pPr>
    </w:p>
    <w:p w:rsidR="00F27A35" w:rsidRPr="00852A07" w:rsidRDefault="00F27A35" w:rsidP="00F27A35">
      <w:pPr>
        <w:autoSpaceDE w:val="0"/>
        <w:autoSpaceDN w:val="0"/>
        <w:adjustRightInd w:val="0"/>
        <w:ind w:left="567"/>
        <w:jc w:val="both"/>
        <w:rPr>
          <w:rFonts w:ascii="Tahoma" w:hAnsi="Tahoma" w:cs="Tahoma"/>
          <w:i/>
          <w:sz w:val="18"/>
          <w:szCs w:val="18"/>
        </w:rPr>
      </w:pPr>
      <w:r w:rsidRPr="00852A07">
        <w:rPr>
          <w:rFonts w:ascii="Tahoma" w:hAnsi="Tahoma" w:cs="Tahoma"/>
          <w:i/>
          <w:sz w:val="18"/>
          <w:szCs w:val="18"/>
        </w:rPr>
        <w:t>Por el presente documento, otorgamos una fianza solidaria, irrevocable, incondicional, indivisible, de realización automática y con renuncia expresa al beneficio de excusión, a favor de ustedes.</w:t>
      </w:r>
    </w:p>
    <w:p w:rsidR="00F27A35" w:rsidRPr="00852A07" w:rsidRDefault="00F27A35" w:rsidP="00F27A35">
      <w:pPr>
        <w:autoSpaceDE w:val="0"/>
        <w:autoSpaceDN w:val="0"/>
        <w:adjustRightInd w:val="0"/>
        <w:ind w:left="567"/>
        <w:jc w:val="both"/>
        <w:rPr>
          <w:rFonts w:ascii="Tahoma" w:hAnsi="Tahoma" w:cs="Tahoma"/>
          <w:i/>
          <w:sz w:val="18"/>
          <w:szCs w:val="18"/>
        </w:rPr>
      </w:pPr>
    </w:p>
    <w:p w:rsidR="00F27A35" w:rsidRPr="00852A07" w:rsidRDefault="00F27A35" w:rsidP="00F27A35">
      <w:pPr>
        <w:autoSpaceDE w:val="0"/>
        <w:autoSpaceDN w:val="0"/>
        <w:adjustRightInd w:val="0"/>
        <w:ind w:left="567"/>
        <w:jc w:val="both"/>
        <w:rPr>
          <w:rFonts w:ascii="Tahoma" w:hAnsi="Tahoma" w:cs="Tahoma"/>
          <w:i/>
          <w:sz w:val="18"/>
          <w:szCs w:val="18"/>
        </w:rPr>
      </w:pPr>
      <w:r w:rsidRPr="00852A07">
        <w:rPr>
          <w:rFonts w:ascii="Tahoma" w:hAnsi="Tahoma" w:cs="Tahoma"/>
          <w:i/>
          <w:sz w:val="18"/>
          <w:szCs w:val="18"/>
        </w:rPr>
        <w:t>Garantizando a:</w:t>
      </w:r>
      <w:r w:rsidRPr="00852A07">
        <w:rPr>
          <w:rFonts w:ascii="Tahoma" w:hAnsi="Tahoma" w:cs="Tahoma"/>
          <w:i/>
          <w:sz w:val="18"/>
          <w:szCs w:val="18"/>
        </w:rPr>
        <w:tab/>
      </w:r>
      <w:r w:rsidRPr="00852A07">
        <w:rPr>
          <w:rFonts w:ascii="Tahoma" w:hAnsi="Tahoma" w:cs="Tahoma"/>
          <w:i/>
          <w:sz w:val="18"/>
          <w:szCs w:val="18"/>
        </w:rPr>
        <w:tab/>
        <w:t>DIEBOL PERU S.R.L.</w:t>
      </w:r>
    </w:p>
    <w:p w:rsidR="00F27A35" w:rsidRPr="00852A07" w:rsidRDefault="00F27A35" w:rsidP="00F27A35">
      <w:pPr>
        <w:autoSpaceDE w:val="0"/>
        <w:autoSpaceDN w:val="0"/>
        <w:adjustRightInd w:val="0"/>
        <w:ind w:left="567"/>
        <w:jc w:val="both"/>
        <w:rPr>
          <w:rFonts w:ascii="Tahoma" w:hAnsi="Tahoma" w:cs="Tahoma"/>
          <w:i/>
          <w:sz w:val="18"/>
          <w:szCs w:val="18"/>
        </w:rPr>
      </w:pPr>
    </w:p>
    <w:p w:rsidR="00F27A35" w:rsidRPr="00852A07" w:rsidRDefault="00F27A35" w:rsidP="00F27A35">
      <w:pPr>
        <w:autoSpaceDE w:val="0"/>
        <w:autoSpaceDN w:val="0"/>
        <w:adjustRightInd w:val="0"/>
        <w:ind w:left="2835" w:hanging="2268"/>
        <w:jc w:val="both"/>
        <w:rPr>
          <w:rFonts w:ascii="Tahoma" w:hAnsi="Tahoma" w:cs="Tahoma"/>
          <w:i/>
          <w:sz w:val="18"/>
          <w:szCs w:val="18"/>
        </w:rPr>
      </w:pPr>
      <w:r w:rsidRPr="00852A07">
        <w:rPr>
          <w:rFonts w:ascii="Tahoma" w:hAnsi="Tahoma" w:cs="Tahoma"/>
          <w:i/>
          <w:sz w:val="18"/>
          <w:szCs w:val="18"/>
        </w:rPr>
        <w:lastRenderedPageBreak/>
        <w:t>Hasta la suma de:</w:t>
      </w:r>
      <w:r w:rsidRPr="00852A07">
        <w:rPr>
          <w:rFonts w:ascii="Tahoma" w:hAnsi="Tahoma" w:cs="Tahoma"/>
          <w:i/>
          <w:sz w:val="18"/>
          <w:szCs w:val="18"/>
        </w:rPr>
        <w:tab/>
        <w:t>S/. ***12,784.00**DOCE MIL SETECIENTOS OCHENTA Y CUATRO 00/100 NUEVOS SOLES</w:t>
      </w:r>
    </w:p>
    <w:p w:rsidR="00F27A35" w:rsidRPr="00852A07" w:rsidRDefault="00F27A35" w:rsidP="00F27A35">
      <w:pPr>
        <w:autoSpaceDE w:val="0"/>
        <w:autoSpaceDN w:val="0"/>
        <w:adjustRightInd w:val="0"/>
        <w:ind w:left="2835" w:hanging="2268"/>
        <w:jc w:val="both"/>
        <w:rPr>
          <w:rFonts w:ascii="Tahoma" w:hAnsi="Tahoma" w:cs="Tahoma"/>
          <w:i/>
          <w:sz w:val="18"/>
          <w:szCs w:val="18"/>
        </w:rPr>
      </w:pPr>
    </w:p>
    <w:p w:rsidR="00F27A35" w:rsidRPr="00852A07" w:rsidRDefault="00F27A35" w:rsidP="00F27A35">
      <w:pPr>
        <w:autoSpaceDE w:val="0"/>
        <w:autoSpaceDN w:val="0"/>
        <w:adjustRightInd w:val="0"/>
        <w:ind w:left="2835" w:hanging="2268"/>
        <w:jc w:val="both"/>
        <w:rPr>
          <w:rFonts w:ascii="Tahoma" w:hAnsi="Tahoma" w:cs="Tahoma"/>
          <w:i/>
          <w:sz w:val="18"/>
          <w:szCs w:val="18"/>
        </w:rPr>
      </w:pPr>
      <w:r w:rsidRPr="00852A07">
        <w:rPr>
          <w:rFonts w:ascii="Tahoma" w:hAnsi="Tahoma" w:cs="Tahoma"/>
          <w:i/>
          <w:sz w:val="18"/>
          <w:szCs w:val="18"/>
        </w:rPr>
        <w:t>En respaldo de:</w:t>
      </w:r>
    </w:p>
    <w:p w:rsidR="00F27A35" w:rsidRPr="00852A07" w:rsidRDefault="00F27A35" w:rsidP="00F27A35">
      <w:pPr>
        <w:autoSpaceDE w:val="0"/>
        <w:autoSpaceDN w:val="0"/>
        <w:adjustRightInd w:val="0"/>
        <w:ind w:left="2835" w:hanging="2268"/>
        <w:jc w:val="both"/>
        <w:rPr>
          <w:rFonts w:ascii="Tahoma" w:hAnsi="Tahoma" w:cs="Tahoma"/>
          <w:i/>
          <w:sz w:val="18"/>
          <w:szCs w:val="18"/>
        </w:rPr>
      </w:pPr>
      <w:r w:rsidRPr="00852A07">
        <w:rPr>
          <w:rFonts w:ascii="Tahoma" w:hAnsi="Tahoma" w:cs="Tahoma"/>
          <w:i/>
          <w:sz w:val="18"/>
          <w:szCs w:val="18"/>
        </w:rPr>
        <w:tab/>
        <w:t>LA GARANTIA DE OFERTA POR LA LICITACIÓN PÚBLICA Nº 0011-2010-BN PRIMERA CONVOCATORIA “ADQUISICIÓN DE CAJEROS AUTOMÁTICOS Y SISTEMA DE VIDEO DE GRABACION DIGITAL” ITEM 2: EQUIPOS DE CAPTURA DE IMÁGENES PARA LOS CIEN (100) CAJEROS AUTOMÁTICOS: MANTENIMIENTO PREVENTIVO, CORRECTIVO Y SOPORTE (PRESTACIONES ACCESORIAS)</w:t>
      </w:r>
    </w:p>
    <w:p w:rsidR="00F27A35" w:rsidRDefault="00F27A35" w:rsidP="00F27A35">
      <w:pPr>
        <w:tabs>
          <w:tab w:val="left" w:pos="567"/>
        </w:tabs>
        <w:autoSpaceDE w:val="0"/>
        <w:autoSpaceDN w:val="0"/>
        <w:adjustRightInd w:val="0"/>
        <w:ind w:left="567"/>
        <w:jc w:val="both"/>
        <w:rPr>
          <w:rFonts w:ascii="Tahoma" w:hAnsi="Tahoma" w:cs="Tahoma"/>
          <w:sz w:val="22"/>
          <w:szCs w:val="22"/>
        </w:rPr>
      </w:pPr>
      <w:r>
        <w:rPr>
          <w:rFonts w:ascii="Tahoma" w:hAnsi="Tahoma" w:cs="Tahoma"/>
          <w:sz w:val="22"/>
          <w:szCs w:val="22"/>
        </w:rPr>
        <w:t>(…)</w:t>
      </w:r>
    </w:p>
    <w:p w:rsidR="00F27A35" w:rsidRDefault="00F27A35" w:rsidP="00F27A35">
      <w:pPr>
        <w:tabs>
          <w:tab w:val="left" w:pos="567"/>
        </w:tabs>
        <w:autoSpaceDE w:val="0"/>
        <w:autoSpaceDN w:val="0"/>
        <w:adjustRightInd w:val="0"/>
        <w:ind w:left="567"/>
        <w:jc w:val="both"/>
        <w:rPr>
          <w:rFonts w:ascii="Tahoma" w:hAnsi="Tahoma" w:cs="Tahoma"/>
          <w:sz w:val="22"/>
          <w:szCs w:val="22"/>
        </w:rPr>
      </w:pPr>
    </w:p>
    <w:p w:rsidR="00F27A35" w:rsidRDefault="00F27A35" w:rsidP="00F27A35">
      <w:pPr>
        <w:tabs>
          <w:tab w:val="left" w:pos="567"/>
        </w:tabs>
        <w:autoSpaceDE w:val="0"/>
        <w:autoSpaceDN w:val="0"/>
        <w:adjustRightInd w:val="0"/>
        <w:ind w:left="567"/>
        <w:jc w:val="both"/>
        <w:rPr>
          <w:rFonts w:ascii="Tahoma" w:hAnsi="Tahoma" w:cs="Tahoma"/>
          <w:sz w:val="22"/>
          <w:szCs w:val="22"/>
        </w:rPr>
      </w:pPr>
    </w:p>
    <w:p w:rsidR="00F27A35" w:rsidRDefault="00F27A35" w:rsidP="00F27A35">
      <w:pPr>
        <w:pStyle w:val="Prrafodelista"/>
        <w:ind w:left="567"/>
        <w:rPr>
          <w:rFonts w:ascii="Tahoma" w:hAnsi="Tahoma" w:cs="Tahoma"/>
        </w:rPr>
      </w:pPr>
      <w:r>
        <w:rPr>
          <w:rFonts w:ascii="Tahoma" w:hAnsi="Tahoma" w:cs="Tahoma"/>
        </w:rPr>
        <w:t>(…)</w:t>
      </w:r>
    </w:p>
    <w:p w:rsidR="00F27A35" w:rsidRDefault="00F27A35" w:rsidP="00F27A35">
      <w:pPr>
        <w:pStyle w:val="Prrafodelista"/>
        <w:rPr>
          <w:rFonts w:ascii="Tahoma" w:hAnsi="Tahoma" w:cs="Tahoma"/>
        </w:rPr>
      </w:pPr>
    </w:p>
    <w:p w:rsidR="00F27A35" w:rsidRPr="00852A07" w:rsidRDefault="00F27A35" w:rsidP="00F27A35">
      <w:pPr>
        <w:autoSpaceDE w:val="0"/>
        <w:autoSpaceDN w:val="0"/>
        <w:adjustRightInd w:val="0"/>
        <w:ind w:left="567"/>
        <w:jc w:val="both"/>
        <w:rPr>
          <w:rFonts w:ascii="Tahoma" w:hAnsi="Tahoma" w:cs="Tahoma"/>
          <w:i/>
          <w:sz w:val="18"/>
          <w:szCs w:val="18"/>
        </w:rPr>
      </w:pPr>
      <w:r>
        <w:rPr>
          <w:rFonts w:ascii="Tahoma" w:hAnsi="Tahoma" w:cs="Tahoma"/>
          <w:i/>
          <w:sz w:val="18"/>
          <w:szCs w:val="18"/>
        </w:rPr>
        <w:t>Carta Fianza Nº:</w:t>
      </w:r>
      <w:r>
        <w:rPr>
          <w:rFonts w:ascii="Tahoma" w:hAnsi="Tahoma" w:cs="Tahoma"/>
          <w:i/>
          <w:sz w:val="18"/>
          <w:szCs w:val="18"/>
        </w:rPr>
        <w:tab/>
        <w:t>010239140</w:t>
      </w:r>
      <w:r w:rsidRPr="00852A07">
        <w:rPr>
          <w:rFonts w:ascii="Tahoma" w:hAnsi="Tahoma" w:cs="Tahoma"/>
          <w:i/>
          <w:sz w:val="18"/>
          <w:szCs w:val="18"/>
        </w:rPr>
        <w:t xml:space="preserve"> 000</w:t>
      </w:r>
    </w:p>
    <w:p w:rsidR="00F27A35" w:rsidRPr="00852A07" w:rsidRDefault="00F27A35" w:rsidP="00F27A35">
      <w:pPr>
        <w:rPr>
          <w:rFonts w:ascii="Tahoma" w:hAnsi="Tahoma" w:cs="Tahoma"/>
          <w:i/>
          <w:sz w:val="18"/>
          <w:szCs w:val="18"/>
        </w:rPr>
      </w:pPr>
    </w:p>
    <w:p w:rsidR="00F27A35" w:rsidRPr="00852A07" w:rsidRDefault="00F27A35" w:rsidP="00F27A35">
      <w:pPr>
        <w:autoSpaceDE w:val="0"/>
        <w:autoSpaceDN w:val="0"/>
        <w:adjustRightInd w:val="0"/>
        <w:ind w:left="567"/>
        <w:jc w:val="both"/>
        <w:rPr>
          <w:rFonts w:ascii="Tahoma" w:hAnsi="Tahoma" w:cs="Tahoma"/>
          <w:i/>
          <w:sz w:val="18"/>
          <w:szCs w:val="18"/>
        </w:rPr>
      </w:pPr>
      <w:r w:rsidRPr="00852A07">
        <w:rPr>
          <w:rFonts w:ascii="Tahoma" w:hAnsi="Tahoma" w:cs="Tahoma"/>
          <w:i/>
          <w:sz w:val="18"/>
          <w:szCs w:val="18"/>
        </w:rPr>
        <w:t>Señores:</w:t>
      </w:r>
      <w:r w:rsidRPr="00852A07">
        <w:rPr>
          <w:rFonts w:ascii="Tahoma" w:hAnsi="Tahoma" w:cs="Tahoma"/>
          <w:i/>
          <w:sz w:val="18"/>
          <w:szCs w:val="18"/>
        </w:rPr>
        <w:tab/>
      </w:r>
      <w:r w:rsidRPr="00852A07">
        <w:rPr>
          <w:rFonts w:ascii="Tahoma" w:hAnsi="Tahoma" w:cs="Tahoma"/>
          <w:i/>
          <w:sz w:val="18"/>
          <w:szCs w:val="18"/>
        </w:rPr>
        <w:tab/>
        <w:t>Banco de la Nación</w:t>
      </w:r>
    </w:p>
    <w:p w:rsidR="00F27A35" w:rsidRPr="00852A07" w:rsidRDefault="00F27A35" w:rsidP="00F27A35">
      <w:pPr>
        <w:autoSpaceDE w:val="0"/>
        <w:autoSpaceDN w:val="0"/>
        <w:adjustRightInd w:val="0"/>
        <w:ind w:left="567"/>
        <w:jc w:val="both"/>
        <w:rPr>
          <w:rFonts w:ascii="Tahoma" w:hAnsi="Tahoma" w:cs="Tahoma"/>
          <w:i/>
          <w:sz w:val="18"/>
          <w:szCs w:val="18"/>
        </w:rPr>
      </w:pPr>
    </w:p>
    <w:p w:rsidR="00F27A35" w:rsidRPr="00852A07" w:rsidRDefault="00F27A35" w:rsidP="00F27A35">
      <w:pPr>
        <w:autoSpaceDE w:val="0"/>
        <w:autoSpaceDN w:val="0"/>
        <w:adjustRightInd w:val="0"/>
        <w:ind w:left="567"/>
        <w:jc w:val="both"/>
        <w:rPr>
          <w:rFonts w:ascii="Tahoma" w:hAnsi="Tahoma" w:cs="Tahoma"/>
          <w:i/>
          <w:sz w:val="18"/>
          <w:szCs w:val="18"/>
        </w:rPr>
      </w:pPr>
      <w:r w:rsidRPr="00852A07">
        <w:rPr>
          <w:rFonts w:ascii="Tahoma" w:hAnsi="Tahoma" w:cs="Tahoma"/>
          <w:i/>
          <w:sz w:val="18"/>
          <w:szCs w:val="18"/>
        </w:rPr>
        <w:t>Por el presente documento, otorgamos una fianza solidaria, irrevocable, incondicional, indivisible, de realización automática y con renuncia expresa al beneficio de excusión, a favor de ustedes.</w:t>
      </w:r>
    </w:p>
    <w:p w:rsidR="00F27A35" w:rsidRPr="00852A07" w:rsidRDefault="00F27A35" w:rsidP="00F27A35">
      <w:pPr>
        <w:autoSpaceDE w:val="0"/>
        <w:autoSpaceDN w:val="0"/>
        <w:adjustRightInd w:val="0"/>
        <w:ind w:left="567"/>
        <w:jc w:val="both"/>
        <w:rPr>
          <w:rFonts w:ascii="Tahoma" w:hAnsi="Tahoma" w:cs="Tahoma"/>
          <w:i/>
          <w:sz w:val="18"/>
          <w:szCs w:val="18"/>
        </w:rPr>
      </w:pPr>
    </w:p>
    <w:p w:rsidR="00F27A35" w:rsidRPr="00852A07" w:rsidRDefault="00F27A35" w:rsidP="00F27A35">
      <w:pPr>
        <w:autoSpaceDE w:val="0"/>
        <w:autoSpaceDN w:val="0"/>
        <w:adjustRightInd w:val="0"/>
        <w:ind w:left="567"/>
        <w:jc w:val="both"/>
        <w:rPr>
          <w:rFonts w:ascii="Tahoma" w:hAnsi="Tahoma" w:cs="Tahoma"/>
          <w:i/>
          <w:sz w:val="18"/>
          <w:szCs w:val="18"/>
        </w:rPr>
      </w:pPr>
      <w:r w:rsidRPr="00852A07">
        <w:rPr>
          <w:rFonts w:ascii="Tahoma" w:hAnsi="Tahoma" w:cs="Tahoma"/>
          <w:i/>
          <w:sz w:val="18"/>
          <w:szCs w:val="18"/>
        </w:rPr>
        <w:t>Garantizando a:</w:t>
      </w:r>
      <w:r w:rsidRPr="00852A07">
        <w:rPr>
          <w:rFonts w:ascii="Tahoma" w:hAnsi="Tahoma" w:cs="Tahoma"/>
          <w:i/>
          <w:sz w:val="18"/>
          <w:szCs w:val="18"/>
        </w:rPr>
        <w:tab/>
      </w:r>
      <w:r w:rsidRPr="00852A07">
        <w:rPr>
          <w:rFonts w:ascii="Tahoma" w:hAnsi="Tahoma" w:cs="Tahoma"/>
          <w:i/>
          <w:sz w:val="18"/>
          <w:szCs w:val="18"/>
        </w:rPr>
        <w:tab/>
        <w:t>DIEBOL PERU S.R.L.</w:t>
      </w:r>
    </w:p>
    <w:p w:rsidR="00F27A35" w:rsidRPr="00852A07" w:rsidRDefault="00F27A35" w:rsidP="00F27A35">
      <w:pPr>
        <w:autoSpaceDE w:val="0"/>
        <w:autoSpaceDN w:val="0"/>
        <w:adjustRightInd w:val="0"/>
        <w:ind w:left="567"/>
        <w:jc w:val="both"/>
        <w:rPr>
          <w:rFonts w:ascii="Tahoma" w:hAnsi="Tahoma" w:cs="Tahoma"/>
          <w:i/>
          <w:sz w:val="18"/>
          <w:szCs w:val="18"/>
        </w:rPr>
      </w:pPr>
    </w:p>
    <w:p w:rsidR="00F27A35" w:rsidRPr="00852A07" w:rsidRDefault="00F27A35" w:rsidP="00F27A35">
      <w:pPr>
        <w:autoSpaceDE w:val="0"/>
        <w:autoSpaceDN w:val="0"/>
        <w:adjustRightInd w:val="0"/>
        <w:ind w:left="2835" w:hanging="2268"/>
        <w:jc w:val="both"/>
        <w:rPr>
          <w:rFonts w:ascii="Tahoma" w:hAnsi="Tahoma" w:cs="Tahoma"/>
          <w:i/>
          <w:sz w:val="18"/>
          <w:szCs w:val="18"/>
        </w:rPr>
      </w:pPr>
      <w:r w:rsidRPr="00852A07">
        <w:rPr>
          <w:rFonts w:ascii="Tahoma" w:hAnsi="Tahoma" w:cs="Tahoma"/>
          <w:i/>
          <w:sz w:val="18"/>
          <w:szCs w:val="18"/>
        </w:rPr>
        <w:t>Hasta la suma de:</w:t>
      </w:r>
      <w:r w:rsidRPr="00852A07">
        <w:rPr>
          <w:rFonts w:ascii="Tahoma" w:hAnsi="Tahoma" w:cs="Tahoma"/>
          <w:i/>
          <w:sz w:val="18"/>
          <w:szCs w:val="18"/>
        </w:rPr>
        <w:tab/>
        <w:t>S/. **</w:t>
      </w:r>
      <w:r>
        <w:rPr>
          <w:rFonts w:ascii="Tahoma" w:hAnsi="Tahoma" w:cs="Tahoma"/>
          <w:i/>
          <w:sz w:val="18"/>
          <w:szCs w:val="18"/>
        </w:rPr>
        <w:t>*51,417.00</w:t>
      </w:r>
      <w:r w:rsidRPr="00852A07">
        <w:rPr>
          <w:rFonts w:ascii="Tahoma" w:hAnsi="Tahoma" w:cs="Tahoma"/>
          <w:i/>
          <w:sz w:val="18"/>
          <w:szCs w:val="18"/>
        </w:rPr>
        <w:t>**</w:t>
      </w:r>
      <w:r>
        <w:rPr>
          <w:rFonts w:ascii="Tahoma" w:hAnsi="Tahoma" w:cs="Tahoma"/>
          <w:i/>
          <w:sz w:val="18"/>
          <w:szCs w:val="18"/>
        </w:rPr>
        <w:t>CINCUENTA Y UN MIL CUATROCIENTOS DIECISIETE 00/100</w:t>
      </w:r>
      <w:r w:rsidRPr="00852A07">
        <w:rPr>
          <w:rFonts w:ascii="Tahoma" w:hAnsi="Tahoma" w:cs="Tahoma"/>
          <w:i/>
          <w:sz w:val="18"/>
          <w:szCs w:val="18"/>
        </w:rPr>
        <w:t xml:space="preserve"> NUEVOS SOLES</w:t>
      </w:r>
    </w:p>
    <w:p w:rsidR="00F27A35" w:rsidRPr="00852A07" w:rsidRDefault="00F27A35" w:rsidP="00F27A35">
      <w:pPr>
        <w:autoSpaceDE w:val="0"/>
        <w:autoSpaceDN w:val="0"/>
        <w:adjustRightInd w:val="0"/>
        <w:ind w:left="2835" w:hanging="2268"/>
        <w:jc w:val="both"/>
        <w:rPr>
          <w:rFonts w:ascii="Tahoma" w:hAnsi="Tahoma" w:cs="Tahoma"/>
          <w:i/>
          <w:sz w:val="18"/>
          <w:szCs w:val="18"/>
        </w:rPr>
      </w:pPr>
    </w:p>
    <w:p w:rsidR="00F27A35" w:rsidRPr="00852A07" w:rsidRDefault="00F27A35" w:rsidP="00F27A35">
      <w:pPr>
        <w:autoSpaceDE w:val="0"/>
        <w:autoSpaceDN w:val="0"/>
        <w:adjustRightInd w:val="0"/>
        <w:ind w:left="2835" w:hanging="2268"/>
        <w:jc w:val="both"/>
        <w:rPr>
          <w:rFonts w:ascii="Tahoma" w:hAnsi="Tahoma" w:cs="Tahoma"/>
          <w:i/>
          <w:sz w:val="18"/>
          <w:szCs w:val="18"/>
        </w:rPr>
      </w:pPr>
      <w:r w:rsidRPr="00852A07">
        <w:rPr>
          <w:rFonts w:ascii="Tahoma" w:hAnsi="Tahoma" w:cs="Tahoma"/>
          <w:i/>
          <w:sz w:val="18"/>
          <w:szCs w:val="18"/>
        </w:rPr>
        <w:t>En respaldo de:</w:t>
      </w:r>
    </w:p>
    <w:p w:rsidR="00F27A35" w:rsidRPr="00852A07" w:rsidRDefault="00F27A35" w:rsidP="00F27A35">
      <w:pPr>
        <w:autoSpaceDE w:val="0"/>
        <w:autoSpaceDN w:val="0"/>
        <w:adjustRightInd w:val="0"/>
        <w:ind w:left="2835" w:hanging="2268"/>
        <w:jc w:val="both"/>
        <w:rPr>
          <w:rFonts w:ascii="Tahoma" w:hAnsi="Tahoma" w:cs="Tahoma"/>
          <w:i/>
          <w:sz w:val="18"/>
          <w:szCs w:val="18"/>
        </w:rPr>
      </w:pPr>
      <w:r w:rsidRPr="00852A07">
        <w:rPr>
          <w:rFonts w:ascii="Tahoma" w:hAnsi="Tahoma" w:cs="Tahoma"/>
          <w:i/>
          <w:sz w:val="18"/>
          <w:szCs w:val="18"/>
        </w:rPr>
        <w:tab/>
        <w:t>LA GARANTIA DE OFERTA POR LA LICITACIÓN PÚBLICA Nº 0011-2010-BN PRIMERA CONVOCATORIA “ADQUISICIÓN DE CAJEROS AUTOMÁTICOS Y SISTEMA DE VIDEO DE GRABACION DIGITAL”</w:t>
      </w:r>
      <w:r>
        <w:rPr>
          <w:rFonts w:ascii="Tahoma" w:hAnsi="Tahoma" w:cs="Tahoma"/>
          <w:i/>
          <w:sz w:val="18"/>
          <w:szCs w:val="18"/>
        </w:rPr>
        <w:t xml:space="preserve"> ITEM 1</w:t>
      </w:r>
      <w:r w:rsidRPr="00852A07">
        <w:rPr>
          <w:rFonts w:ascii="Tahoma" w:hAnsi="Tahoma" w:cs="Tahoma"/>
          <w:i/>
          <w:sz w:val="18"/>
          <w:szCs w:val="18"/>
        </w:rPr>
        <w:t xml:space="preserve">: </w:t>
      </w:r>
      <w:r>
        <w:rPr>
          <w:rFonts w:ascii="Tahoma" w:hAnsi="Tahoma" w:cs="Tahoma"/>
          <w:i/>
          <w:sz w:val="18"/>
          <w:szCs w:val="18"/>
        </w:rPr>
        <w:t>100 CAJEROS AUTOMÁTICOS DISPENSADORES DE EFECTIVO, SIN MODULO PARA DEPOSITOS; MANTENIMIENTO PREVENTIVO, CORRECTIVO Y SOPORTE (PRESTACIONES ACCESORIAS)</w:t>
      </w:r>
    </w:p>
    <w:p w:rsidR="00F27A35" w:rsidRDefault="00F27A35" w:rsidP="00F27A35">
      <w:pPr>
        <w:tabs>
          <w:tab w:val="left" w:pos="567"/>
        </w:tabs>
        <w:autoSpaceDE w:val="0"/>
        <w:autoSpaceDN w:val="0"/>
        <w:adjustRightInd w:val="0"/>
        <w:ind w:left="567"/>
        <w:jc w:val="both"/>
        <w:rPr>
          <w:rFonts w:ascii="Tahoma" w:hAnsi="Tahoma" w:cs="Tahoma"/>
          <w:sz w:val="22"/>
          <w:szCs w:val="22"/>
        </w:rPr>
      </w:pPr>
      <w:r>
        <w:rPr>
          <w:rFonts w:ascii="Tahoma" w:hAnsi="Tahoma" w:cs="Tahoma"/>
          <w:sz w:val="22"/>
          <w:szCs w:val="22"/>
        </w:rPr>
        <w:t>(…)</w:t>
      </w:r>
    </w:p>
    <w:p w:rsidR="00F27A35" w:rsidRDefault="00F27A35" w:rsidP="00F27A35">
      <w:pPr>
        <w:tabs>
          <w:tab w:val="left" w:pos="567"/>
        </w:tabs>
        <w:autoSpaceDE w:val="0"/>
        <w:autoSpaceDN w:val="0"/>
        <w:adjustRightInd w:val="0"/>
        <w:ind w:left="567"/>
        <w:jc w:val="both"/>
        <w:rPr>
          <w:rFonts w:ascii="Tahoma" w:hAnsi="Tahoma" w:cs="Tahoma"/>
          <w:sz w:val="22"/>
          <w:szCs w:val="22"/>
        </w:rPr>
      </w:pPr>
    </w:p>
    <w:p w:rsidR="00F27A35" w:rsidRPr="004B1D10" w:rsidRDefault="00F27A35" w:rsidP="00F27A35">
      <w:pPr>
        <w:numPr>
          <w:ilvl w:val="0"/>
          <w:numId w:val="15"/>
        </w:numPr>
        <w:tabs>
          <w:tab w:val="left" w:pos="567"/>
        </w:tabs>
        <w:autoSpaceDE w:val="0"/>
        <w:autoSpaceDN w:val="0"/>
        <w:adjustRightInd w:val="0"/>
        <w:ind w:left="567" w:hanging="567"/>
        <w:jc w:val="both"/>
        <w:rPr>
          <w:rFonts w:ascii="Tahoma" w:hAnsi="Tahoma" w:cs="Tahoma"/>
          <w:sz w:val="22"/>
          <w:szCs w:val="22"/>
        </w:rPr>
      </w:pPr>
      <w:r w:rsidRPr="004B1D10">
        <w:rPr>
          <w:rFonts w:ascii="Tahoma" w:hAnsi="Tahoma" w:cs="Tahoma"/>
          <w:sz w:val="22"/>
          <w:szCs w:val="22"/>
        </w:rPr>
        <w:t>Ahora bien, el Impugnante señaló en su recurso de apelación que dichas cartas podían ser subsanadas ante la omisión involuntaria consistente en consignar en dichos documentos el término “seriedad” en lugar de solamente “garantía de oferta”, teniendo en consideración que si bien es cierto, la garantía de seriedad de oferta acompaña a la propuesta económica, no significa que dicha garantía constituya propiamente la oferta económica y, por tanto, que no pueda ser subsanada cuando en su emisión se haya incurrido en errores o defectos que no afecten de manera sustancial su objetivo, tal como lo estableció la Resolución Nº 2118-2009-TC-S2.</w:t>
      </w:r>
    </w:p>
    <w:p w:rsidR="00F27A35" w:rsidRPr="004B1D10" w:rsidRDefault="00F27A35" w:rsidP="00F27A35">
      <w:pPr>
        <w:pStyle w:val="Prrafodelista"/>
        <w:rPr>
          <w:rFonts w:ascii="Tahoma" w:hAnsi="Tahoma" w:cs="Tahoma"/>
          <w:sz w:val="22"/>
          <w:szCs w:val="22"/>
        </w:rPr>
      </w:pPr>
    </w:p>
    <w:p w:rsidR="00F27A35" w:rsidRPr="004B1D10" w:rsidRDefault="00F27A35" w:rsidP="00F27A35">
      <w:pPr>
        <w:numPr>
          <w:ilvl w:val="0"/>
          <w:numId w:val="15"/>
        </w:numPr>
        <w:tabs>
          <w:tab w:val="left" w:pos="567"/>
        </w:tabs>
        <w:autoSpaceDE w:val="0"/>
        <w:autoSpaceDN w:val="0"/>
        <w:adjustRightInd w:val="0"/>
        <w:ind w:left="567" w:hanging="567"/>
        <w:jc w:val="both"/>
        <w:rPr>
          <w:rFonts w:ascii="Tahoma" w:hAnsi="Tahoma" w:cs="Tahoma"/>
          <w:sz w:val="22"/>
          <w:szCs w:val="22"/>
        </w:rPr>
      </w:pPr>
      <w:r w:rsidRPr="004B1D10">
        <w:rPr>
          <w:rFonts w:ascii="Tahoma" w:hAnsi="Tahoma" w:cs="Tahoma"/>
          <w:sz w:val="22"/>
          <w:szCs w:val="22"/>
        </w:rPr>
        <w:t xml:space="preserve">Respecto a ello, cabe señalar que este Colegiado no concuerda con el criterio adoptado en la Resolución Nº 2118-2009-TC-S2 de fecha 30 de setiembre de 2009, sino con los pronunciamientos emitidos de manera posterior por este </w:t>
      </w:r>
      <w:r w:rsidRPr="004B1D10">
        <w:rPr>
          <w:rFonts w:ascii="Tahoma" w:hAnsi="Tahoma" w:cs="Tahoma"/>
          <w:sz w:val="22"/>
          <w:szCs w:val="22"/>
        </w:rPr>
        <w:lastRenderedPageBreak/>
        <w:t>Tribunal</w:t>
      </w:r>
      <w:r w:rsidRPr="004B1D10">
        <w:rPr>
          <w:rStyle w:val="Refdenotaalpie"/>
          <w:rFonts w:ascii="Tahoma" w:hAnsi="Tahoma" w:cs="Tahoma"/>
          <w:sz w:val="22"/>
          <w:szCs w:val="22"/>
        </w:rPr>
        <w:footnoteReference w:id="2"/>
      </w:r>
      <w:r w:rsidRPr="004B1D10">
        <w:rPr>
          <w:rFonts w:ascii="Tahoma" w:hAnsi="Tahoma" w:cs="Tahoma"/>
          <w:sz w:val="22"/>
          <w:szCs w:val="22"/>
        </w:rPr>
        <w:t xml:space="preserve">, en los cuales se considera que no cabe subsanación de los errores contenidos en la propuesta económica, en la cual se incluye la Carta Fianza de Garantía de Seriedad de Oferta, salvo defectos de foliación y de rúbrica de cada uno de los folios que componen la oferta, según lo dispuesto en el artículo 68 del Reglamento. </w:t>
      </w:r>
    </w:p>
    <w:p w:rsidR="00F27A35" w:rsidRPr="004B1D10" w:rsidRDefault="00F27A35" w:rsidP="00F27A35">
      <w:pPr>
        <w:pStyle w:val="Prrafodelista"/>
        <w:rPr>
          <w:rFonts w:ascii="Tahoma" w:hAnsi="Tahoma" w:cs="Tahoma"/>
          <w:sz w:val="22"/>
          <w:szCs w:val="22"/>
        </w:rPr>
      </w:pPr>
    </w:p>
    <w:p w:rsidR="00F27A35" w:rsidRPr="004B1D10" w:rsidRDefault="00F27A35" w:rsidP="00F27A35">
      <w:pPr>
        <w:numPr>
          <w:ilvl w:val="0"/>
          <w:numId w:val="15"/>
        </w:numPr>
        <w:tabs>
          <w:tab w:val="left" w:pos="567"/>
        </w:tabs>
        <w:autoSpaceDE w:val="0"/>
        <w:autoSpaceDN w:val="0"/>
        <w:adjustRightInd w:val="0"/>
        <w:ind w:left="567" w:hanging="567"/>
        <w:jc w:val="both"/>
        <w:rPr>
          <w:rFonts w:ascii="Tahoma" w:hAnsi="Tahoma" w:cs="Tahoma"/>
          <w:sz w:val="22"/>
          <w:szCs w:val="22"/>
        </w:rPr>
      </w:pPr>
      <w:r w:rsidRPr="004B1D10">
        <w:rPr>
          <w:rFonts w:ascii="Tahoma" w:hAnsi="Tahoma" w:cs="Tahoma"/>
          <w:sz w:val="22"/>
          <w:szCs w:val="22"/>
        </w:rPr>
        <w:t xml:space="preserve">No obstante lo señalado anteriormente, se debe considerar que el </w:t>
      </w:r>
      <w:r w:rsidRPr="004B1D10">
        <w:rPr>
          <w:rFonts w:ascii="Tahoma" w:hAnsi="Tahoma" w:cs="Tahoma"/>
          <w:color w:val="000000"/>
          <w:sz w:val="22"/>
          <w:szCs w:val="22"/>
        </w:rPr>
        <w:t>punto controvertido planteado por el Impugnante consiste en determinar si la omisión incurrida en las Cartas Fianzas, que buscaban garantizar la seriedad de su oferta, podría determinar su descalificación de los ítems materia de la impugnación.</w:t>
      </w:r>
    </w:p>
    <w:p w:rsidR="00F27A35" w:rsidRPr="004B1D10" w:rsidRDefault="00F27A35" w:rsidP="00F27A35">
      <w:pPr>
        <w:pStyle w:val="Prrafodelista"/>
        <w:rPr>
          <w:rFonts w:ascii="Tahoma" w:hAnsi="Tahoma" w:cs="Tahoma"/>
          <w:sz w:val="22"/>
          <w:szCs w:val="22"/>
        </w:rPr>
      </w:pPr>
    </w:p>
    <w:p w:rsidR="00F27A35" w:rsidRPr="004B1D10" w:rsidRDefault="00F27A35" w:rsidP="00F27A35">
      <w:pPr>
        <w:numPr>
          <w:ilvl w:val="0"/>
          <w:numId w:val="15"/>
        </w:numPr>
        <w:tabs>
          <w:tab w:val="left" w:pos="567"/>
        </w:tabs>
        <w:autoSpaceDE w:val="0"/>
        <w:autoSpaceDN w:val="0"/>
        <w:adjustRightInd w:val="0"/>
        <w:spacing w:line="276" w:lineRule="auto"/>
        <w:ind w:left="567" w:hanging="567"/>
        <w:jc w:val="both"/>
        <w:rPr>
          <w:rFonts w:ascii="Tahoma" w:hAnsi="Tahoma" w:cs="Tahoma"/>
          <w:sz w:val="22"/>
          <w:szCs w:val="22"/>
        </w:rPr>
      </w:pPr>
      <w:r w:rsidRPr="004B1D10">
        <w:rPr>
          <w:rFonts w:ascii="Tahoma" w:hAnsi="Tahoma" w:cs="Tahoma"/>
          <w:sz w:val="22"/>
          <w:szCs w:val="22"/>
        </w:rPr>
        <w:t>Teniendo en cuenta ello, corresponde indicar que el artículo 39 de la Ley dispone que las garantías que acepten las Entidades deben ser incondicionales, solidarias, irrevocables y de realización automática en el país a solo requerimiento de la respectiva Entidad. Tomando en consideración el artículo antes citado puede colegirse entonces que es obligación del Comité Especial verificar, de manera exhaustiva, que las Cartas Fianzas presentadas por los postores cuenten con todas las características y atributos que garanticen que la misma podrá ser ejecutada de ser el caso, en ese sentido, en los casos en los cuales se adviertan defectos trascendentes en las Cartas Fianzas que pongan en duda la idoneidad de las mismas o el cumplimiento de las características establecidas en el artículo 39 de la Ley, el Comité Especial en salvaguarda de los interés de la Entidad no deberá considerar dichos documentos.</w:t>
      </w:r>
    </w:p>
    <w:p w:rsidR="00F27A35" w:rsidRPr="004B1D10" w:rsidRDefault="00F27A35" w:rsidP="00F27A35">
      <w:pPr>
        <w:tabs>
          <w:tab w:val="left" w:pos="567"/>
        </w:tabs>
        <w:autoSpaceDE w:val="0"/>
        <w:autoSpaceDN w:val="0"/>
        <w:adjustRightInd w:val="0"/>
        <w:spacing w:line="276" w:lineRule="auto"/>
        <w:jc w:val="both"/>
        <w:rPr>
          <w:rFonts w:ascii="Tahoma" w:hAnsi="Tahoma" w:cs="Tahoma"/>
          <w:sz w:val="22"/>
          <w:szCs w:val="22"/>
        </w:rPr>
      </w:pPr>
    </w:p>
    <w:p w:rsidR="00F27A35" w:rsidRPr="004B1D10" w:rsidRDefault="00F27A35" w:rsidP="00F27A35">
      <w:pPr>
        <w:numPr>
          <w:ilvl w:val="0"/>
          <w:numId w:val="15"/>
        </w:numPr>
        <w:tabs>
          <w:tab w:val="left" w:pos="567"/>
        </w:tabs>
        <w:autoSpaceDE w:val="0"/>
        <w:autoSpaceDN w:val="0"/>
        <w:adjustRightInd w:val="0"/>
        <w:spacing w:after="200" w:line="276" w:lineRule="auto"/>
        <w:ind w:left="567" w:hanging="567"/>
        <w:jc w:val="both"/>
        <w:rPr>
          <w:rFonts w:ascii="Tahoma" w:hAnsi="Tahoma" w:cs="Tahoma"/>
          <w:sz w:val="22"/>
          <w:szCs w:val="22"/>
        </w:rPr>
      </w:pPr>
      <w:r w:rsidRPr="004B1D10">
        <w:rPr>
          <w:rFonts w:ascii="Tahoma" w:hAnsi="Tahoma" w:cs="Tahoma"/>
          <w:sz w:val="22"/>
          <w:szCs w:val="22"/>
        </w:rPr>
        <w:t xml:space="preserve">En el caso materia de autos, se ha podido advertir que en las Cartas Fianzas cuestionadas sólo se había consignado “GARANTÍA DE OFERTA” cuando debió haberse consignado “GARANTIA DE SERIEDAD DE OFERTA”; no obstante ello, se debe tener en cuenta que tanto la propuesta técnica y económica debe ser evaluada como un todo, por lo tanto, de la verificación de dichas cartas fianzas, las mismas que forman parte de la propuesta económica, se puede advertir que además de cumplir con las condiciones establecidas en el artículo 39 de la Ley, toda vez que han sido emitidas de manera incondicional, solidaria, irrevocable, de realización automática y con renuncia expresa al beneficio de excusión; también cumplen con las condiciones propias de las garantías de seriedad de oferta, establecidas en el artículo 157 del Reglamento, toda vez que vez que formó parte de la propuesta económica presentada por el Impugnante, el monto de dichas garantías corresponde al 1% del valor referencial y sus plazos de vigencia es hasta el 22 de marzo de 2011, es decir mayor a dos (02) meses, computados a partir del día siguiente a la presentación de propuestas, la misma </w:t>
      </w:r>
      <w:r w:rsidRPr="004B1D10">
        <w:rPr>
          <w:rFonts w:ascii="Tahoma" w:hAnsi="Tahoma" w:cs="Tahoma"/>
          <w:sz w:val="22"/>
          <w:szCs w:val="22"/>
        </w:rPr>
        <w:lastRenderedPageBreak/>
        <w:t>que se realizó el 28 de diciembre de 2010, según la ficha del proceso de selección publicada en el SEACE.</w:t>
      </w:r>
    </w:p>
    <w:p w:rsidR="00F27A35" w:rsidRPr="004B1D10" w:rsidRDefault="00F27A35" w:rsidP="00F27A35">
      <w:pPr>
        <w:numPr>
          <w:ilvl w:val="0"/>
          <w:numId w:val="15"/>
        </w:numPr>
        <w:tabs>
          <w:tab w:val="left" w:pos="567"/>
        </w:tabs>
        <w:autoSpaceDE w:val="0"/>
        <w:autoSpaceDN w:val="0"/>
        <w:adjustRightInd w:val="0"/>
        <w:spacing w:after="200" w:line="276" w:lineRule="auto"/>
        <w:ind w:left="567" w:hanging="567"/>
        <w:jc w:val="both"/>
        <w:rPr>
          <w:rFonts w:ascii="Tahoma" w:hAnsi="Tahoma" w:cs="Tahoma"/>
          <w:sz w:val="22"/>
          <w:szCs w:val="22"/>
          <w:lang w:val="es-PE"/>
        </w:rPr>
      </w:pPr>
      <w:r w:rsidRPr="004B1D10">
        <w:rPr>
          <w:rFonts w:ascii="Tahoma" w:hAnsi="Tahoma" w:cs="Tahoma"/>
          <w:sz w:val="22"/>
          <w:szCs w:val="22"/>
        </w:rPr>
        <w:t xml:space="preserve">En estas circunstancias, el hecho que en dichas cartas fianzas se haya omitido el término “SERIEDAD”, no implica que no estén garantizando la seriedad de su oferta, toda vez que no se ha alterado ninguno de los aspectos sustanciales que conforman dicha garantía, por lo tanto, es </w:t>
      </w:r>
      <w:r w:rsidRPr="004B1D10">
        <w:rPr>
          <w:rFonts w:ascii="Tahoma" w:hAnsi="Tahoma" w:cs="Tahoma"/>
          <w:sz w:val="22"/>
          <w:szCs w:val="22"/>
          <w:lang w:val="es-PE"/>
        </w:rPr>
        <w:t xml:space="preserve">lógico e indudable que las cartas fianzas cuestionadas lo que buscan es garantizar la seriedad de oferta del Impugnante. </w:t>
      </w:r>
    </w:p>
    <w:p w:rsidR="00F27A35" w:rsidRPr="004B1D10" w:rsidRDefault="00F27A35" w:rsidP="00F27A35">
      <w:pPr>
        <w:tabs>
          <w:tab w:val="left" w:pos="567"/>
        </w:tabs>
        <w:autoSpaceDE w:val="0"/>
        <w:autoSpaceDN w:val="0"/>
        <w:adjustRightInd w:val="0"/>
        <w:spacing w:after="200" w:line="276" w:lineRule="auto"/>
        <w:ind w:left="567"/>
        <w:jc w:val="both"/>
        <w:rPr>
          <w:rFonts w:ascii="Tahoma" w:hAnsi="Tahoma" w:cs="Tahoma"/>
          <w:sz w:val="22"/>
          <w:szCs w:val="22"/>
          <w:lang w:val="es-PE"/>
        </w:rPr>
      </w:pPr>
      <w:r w:rsidRPr="004B1D10">
        <w:rPr>
          <w:rFonts w:ascii="Tahoma" w:hAnsi="Tahoma" w:cs="Tahoma"/>
          <w:sz w:val="22"/>
          <w:szCs w:val="22"/>
          <w:lang w:val="es-PE"/>
        </w:rPr>
        <w:t>En efecto, si las cartas fianzas cumplen con la finalidad y las condiciones por la cual han sido constituidas, de tal manera que no exista impedimento en su ejecución, entonces no sería razonable tenerlas como no válidas.</w:t>
      </w:r>
    </w:p>
    <w:p w:rsidR="00F27A35" w:rsidRPr="004B1D10" w:rsidRDefault="00F27A35" w:rsidP="00F27A35">
      <w:pPr>
        <w:numPr>
          <w:ilvl w:val="0"/>
          <w:numId w:val="15"/>
        </w:numPr>
        <w:tabs>
          <w:tab w:val="left" w:pos="567"/>
        </w:tabs>
        <w:autoSpaceDE w:val="0"/>
        <w:autoSpaceDN w:val="0"/>
        <w:adjustRightInd w:val="0"/>
        <w:spacing w:after="200" w:line="276" w:lineRule="auto"/>
        <w:ind w:left="567" w:hanging="567"/>
        <w:jc w:val="both"/>
        <w:rPr>
          <w:rFonts w:ascii="Tahoma" w:hAnsi="Tahoma" w:cs="Tahoma"/>
          <w:sz w:val="22"/>
          <w:szCs w:val="22"/>
          <w:lang w:val="es-PE"/>
        </w:rPr>
      </w:pPr>
      <w:r w:rsidRPr="004B1D10">
        <w:rPr>
          <w:rFonts w:ascii="Tahoma" w:hAnsi="Tahoma" w:cs="Tahoma"/>
          <w:sz w:val="22"/>
          <w:szCs w:val="22"/>
          <w:lang w:val="es-PE"/>
        </w:rPr>
        <w:t xml:space="preserve">En la misma línea de análisis, se debe señalar que en aplicación del criterio teleológico, la administración debe interpretar las normas de tal forma que sus fines sean alcanzados de manera racional y congruente con el cuerpo normativo al que pertenecen. </w:t>
      </w:r>
    </w:p>
    <w:p w:rsidR="00F27A35" w:rsidRPr="004B1D10" w:rsidRDefault="00F27A35" w:rsidP="00F27A35">
      <w:pPr>
        <w:numPr>
          <w:ilvl w:val="0"/>
          <w:numId w:val="15"/>
        </w:numPr>
        <w:tabs>
          <w:tab w:val="left" w:pos="567"/>
        </w:tabs>
        <w:autoSpaceDE w:val="0"/>
        <w:autoSpaceDN w:val="0"/>
        <w:adjustRightInd w:val="0"/>
        <w:spacing w:after="200" w:line="276" w:lineRule="auto"/>
        <w:ind w:left="567" w:hanging="567"/>
        <w:jc w:val="both"/>
        <w:rPr>
          <w:rFonts w:ascii="Tahoma" w:hAnsi="Tahoma" w:cs="Tahoma"/>
          <w:sz w:val="22"/>
          <w:szCs w:val="22"/>
          <w:lang w:val="es-PE"/>
        </w:rPr>
      </w:pPr>
      <w:r w:rsidRPr="004B1D10">
        <w:rPr>
          <w:rFonts w:ascii="Tahoma" w:hAnsi="Tahoma" w:cs="Tahoma"/>
          <w:sz w:val="22"/>
          <w:szCs w:val="22"/>
        </w:rPr>
        <w:t>Además, debe tenerse presente, que la forma de presentación de la propuesta, busca una plena vinculación del postor con aquello que oferta, mediante su aceptación y responsabilidad. Consecuentemente, resulta sumamente importante tener en cuenta que la formalidad es un medio que busca mantener la seguridad jurídica y, en consecuencia, permitir a la Entidad tener la certeza de la voluntad del postor plasmada en las propuestas.</w:t>
      </w:r>
    </w:p>
    <w:p w:rsidR="00F27A35" w:rsidRPr="004B1D10" w:rsidRDefault="00F27A35" w:rsidP="00F27A35">
      <w:pPr>
        <w:numPr>
          <w:ilvl w:val="0"/>
          <w:numId w:val="15"/>
        </w:numPr>
        <w:tabs>
          <w:tab w:val="left" w:pos="567"/>
        </w:tabs>
        <w:autoSpaceDE w:val="0"/>
        <w:autoSpaceDN w:val="0"/>
        <w:adjustRightInd w:val="0"/>
        <w:spacing w:after="200" w:line="276" w:lineRule="auto"/>
        <w:ind w:left="567" w:hanging="567"/>
        <w:jc w:val="both"/>
        <w:rPr>
          <w:rFonts w:ascii="Tahoma" w:hAnsi="Tahoma" w:cs="Tahoma"/>
          <w:sz w:val="22"/>
          <w:szCs w:val="22"/>
          <w:lang w:val="es-PE"/>
        </w:rPr>
      </w:pPr>
      <w:r w:rsidRPr="004B1D10">
        <w:rPr>
          <w:rFonts w:ascii="Tahoma" w:hAnsi="Tahoma" w:cs="Tahoma"/>
          <w:sz w:val="22"/>
          <w:szCs w:val="22"/>
        </w:rPr>
        <w:t>En este sentido, la formalidad documental es un medio y no un fin en sí mismo, por lo que en los procesos de selección, se presenta como un instrumento utilizado para determinar las condiciones y cualidades de los postores. En razón de ello, la verdad de lo evidente debe primar sobre la formalidad pura y simple, máxime si las cartas fianzas presentadas son entendibles y no contienen una omisión que torne en confusa o ambigua su ejecución.</w:t>
      </w:r>
    </w:p>
    <w:p w:rsidR="00F27A35" w:rsidRPr="004B1D10" w:rsidRDefault="00F27A35" w:rsidP="00F27A35">
      <w:pPr>
        <w:numPr>
          <w:ilvl w:val="0"/>
          <w:numId w:val="15"/>
        </w:numPr>
        <w:tabs>
          <w:tab w:val="left" w:pos="567"/>
        </w:tabs>
        <w:autoSpaceDE w:val="0"/>
        <w:autoSpaceDN w:val="0"/>
        <w:adjustRightInd w:val="0"/>
        <w:spacing w:after="200" w:line="276" w:lineRule="auto"/>
        <w:ind w:left="567" w:hanging="567"/>
        <w:jc w:val="both"/>
        <w:rPr>
          <w:rFonts w:ascii="Tahoma" w:hAnsi="Tahoma" w:cs="Tahoma"/>
          <w:sz w:val="22"/>
          <w:szCs w:val="22"/>
          <w:lang w:val="es-PE"/>
        </w:rPr>
      </w:pPr>
      <w:r w:rsidRPr="004B1D10">
        <w:rPr>
          <w:rFonts w:ascii="Tahoma" w:hAnsi="Tahoma" w:cs="Tahoma"/>
          <w:sz w:val="22"/>
          <w:szCs w:val="22"/>
        </w:rPr>
        <w:t>Como resulta obvio, la apelación efectuada por el Impugnante sólo confirma lo indiscutible, y es que las Cartas Fianzas Nº 010239139 000 y Nº 010239140 000, lo que buscan es garantizar la seriedad de oferta del Impugnante.</w:t>
      </w:r>
    </w:p>
    <w:p w:rsidR="00F27A35" w:rsidRPr="004B1D10" w:rsidRDefault="00F27A35" w:rsidP="00F27A35">
      <w:pPr>
        <w:numPr>
          <w:ilvl w:val="0"/>
          <w:numId w:val="15"/>
        </w:numPr>
        <w:tabs>
          <w:tab w:val="left" w:pos="567"/>
        </w:tabs>
        <w:autoSpaceDE w:val="0"/>
        <w:autoSpaceDN w:val="0"/>
        <w:adjustRightInd w:val="0"/>
        <w:spacing w:after="200" w:line="276" w:lineRule="auto"/>
        <w:ind w:left="567" w:hanging="567"/>
        <w:jc w:val="both"/>
        <w:rPr>
          <w:rFonts w:ascii="Tahoma" w:hAnsi="Tahoma" w:cs="Tahoma"/>
          <w:sz w:val="22"/>
          <w:szCs w:val="22"/>
        </w:rPr>
      </w:pPr>
      <w:r w:rsidRPr="004B1D10">
        <w:rPr>
          <w:rFonts w:ascii="Tahoma" w:hAnsi="Tahoma" w:cs="Tahoma"/>
          <w:sz w:val="22"/>
          <w:szCs w:val="22"/>
        </w:rPr>
        <w:t xml:space="preserve">Es por ello que no se encuentran argumentos que puedan demostrar que al consignar en dichas cartas fianzas el término Garantía de Oferta, se refiera a otra cosa que no sea garantizar la seriedad de oferta de la Impugnante. </w:t>
      </w:r>
    </w:p>
    <w:p w:rsidR="00F27A35" w:rsidRPr="004B1D10" w:rsidRDefault="00F27A35" w:rsidP="00F27A35">
      <w:pPr>
        <w:numPr>
          <w:ilvl w:val="0"/>
          <w:numId w:val="15"/>
        </w:numPr>
        <w:autoSpaceDE w:val="0"/>
        <w:autoSpaceDN w:val="0"/>
        <w:adjustRightInd w:val="0"/>
        <w:spacing w:after="200" w:line="276" w:lineRule="auto"/>
        <w:ind w:left="567" w:hanging="680"/>
        <w:jc w:val="both"/>
        <w:rPr>
          <w:rFonts w:ascii="Tahoma" w:hAnsi="Tahoma" w:cs="Tahoma"/>
          <w:sz w:val="22"/>
          <w:szCs w:val="22"/>
        </w:rPr>
      </w:pPr>
      <w:r w:rsidRPr="004B1D10">
        <w:rPr>
          <w:rFonts w:ascii="Tahoma" w:hAnsi="Tahoma" w:cs="Tahoma"/>
          <w:sz w:val="22"/>
          <w:szCs w:val="22"/>
        </w:rPr>
        <w:lastRenderedPageBreak/>
        <w:t>En efecto, lo dicho anteriormente se puede corroborar con la carta de fecha 05 de enero de 2010, presentada por el Impugnante en su recurso de apelación, en la cual la entidad financiera que emitió las cartas fianzas cuestionadas, es decir el Banco Scotiabank Perú S.A.A., informó que dichas cartas fianzas son plenamente válidas, eficaces, ejecutables y garantizan la oferta del Impugnante, tal como se transcribe a continuación:</w:t>
      </w:r>
    </w:p>
    <w:p w:rsidR="00F27A35" w:rsidRPr="00A17F8B" w:rsidRDefault="00F27A35" w:rsidP="00F27A35">
      <w:pPr>
        <w:autoSpaceDE w:val="0"/>
        <w:autoSpaceDN w:val="0"/>
        <w:adjustRightInd w:val="0"/>
        <w:ind w:left="709" w:right="282"/>
        <w:jc w:val="both"/>
        <w:rPr>
          <w:rFonts w:ascii="Tahoma" w:hAnsi="Tahoma" w:cs="Tahoma"/>
          <w:i/>
          <w:sz w:val="18"/>
          <w:szCs w:val="18"/>
        </w:rPr>
      </w:pPr>
      <w:r w:rsidRPr="00A17F8B">
        <w:rPr>
          <w:rFonts w:ascii="Tahoma" w:hAnsi="Tahoma" w:cs="Tahoma"/>
          <w:i/>
          <w:sz w:val="18"/>
          <w:szCs w:val="18"/>
        </w:rPr>
        <w:t>“Señores</w:t>
      </w:r>
    </w:p>
    <w:p w:rsidR="00F27A35" w:rsidRPr="00A17F8B" w:rsidRDefault="00F27A35" w:rsidP="00F27A35">
      <w:pPr>
        <w:autoSpaceDE w:val="0"/>
        <w:autoSpaceDN w:val="0"/>
        <w:adjustRightInd w:val="0"/>
        <w:ind w:left="709" w:right="282"/>
        <w:jc w:val="both"/>
        <w:rPr>
          <w:rFonts w:ascii="Tahoma" w:hAnsi="Tahoma" w:cs="Tahoma"/>
          <w:i/>
          <w:sz w:val="18"/>
          <w:szCs w:val="18"/>
        </w:rPr>
      </w:pPr>
      <w:r w:rsidRPr="00A17F8B">
        <w:rPr>
          <w:rFonts w:ascii="Tahoma" w:hAnsi="Tahoma" w:cs="Tahoma"/>
          <w:i/>
          <w:sz w:val="18"/>
          <w:szCs w:val="18"/>
        </w:rPr>
        <w:t>Diebold Perú</w:t>
      </w:r>
    </w:p>
    <w:p w:rsidR="00F27A35" w:rsidRPr="00A17F8B" w:rsidRDefault="00F27A35" w:rsidP="00F27A35">
      <w:pPr>
        <w:autoSpaceDE w:val="0"/>
        <w:autoSpaceDN w:val="0"/>
        <w:adjustRightInd w:val="0"/>
        <w:ind w:left="709" w:right="282"/>
        <w:jc w:val="both"/>
        <w:rPr>
          <w:rFonts w:ascii="Tahoma" w:hAnsi="Tahoma" w:cs="Tahoma"/>
          <w:i/>
          <w:sz w:val="18"/>
          <w:szCs w:val="18"/>
          <w:u w:val="single"/>
        </w:rPr>
      </w:pPr>
      <w:r w:rsidRPr="00A17F8B">
        <w:rPr>
          <w:rFonts w:ascii="Tahoma" w:hAnsi="Tahoma" w:cs="Tahoma"/>
          <w:i/>
          <w:sz w:val="18"/>
          <w:szCs w:val="18"/>
          <w:u w:val="single"/>
        </w:rPr>
        <w:t>Ciudad.-</w:t>
      </w:r>
    </w:p>
    <w:p w:rsidR="00F27A35" w:rsidRPr="00A17F8B" w:rsidRDefault="00F27A35" w:rsidP="00F27A35">
      <w:pPr>
        <w:autoSpaceDE w:val="0"/>
        <w:autoSpaceDN w:val="0"/>
        <w:adjustRightInd w:val="0"/>
        <w:ind w:left="709" w:right="282"/>
        <w:jc w:val="both"/>
        <w:rPr>
          <w:rFonts w:ascii="Tahoma" w:hAnsi="Tahoma" w:cs="Tahoma"/>
          <w:i/>
          <w:sz w:val="18"/>
          <w:szCs w:val="18"/>
          <w:u w:val="single"/>
        </w:rPr>
      </w:pPr>
    </w:p>
    <w:p w:rsidR="00F27A35" w:rsidRPr="00A17F8B" w:rsidRDefault="00F27A35" w:rsidP="00F27A35">
      <w:pPr>
        <w:autoSpaceDE w:val="0"/>
        <w:autoSpaceDN w:val="0"/>
        <w:adjustRightInd w:val="0"/>
        <w:ind w:left="709" w:right="282"/>
        <w:jc w:val="both"/>
        <w:rPr>
          <w:rFonts w:ascii="Tahoma" w:hAnsi="Tahoma" w:cs="Tahoma"/>
          <w:i/>
          <w:sz w:val="18"/>
          <w:szCs w:val="18"/>
        </w:rPr>
      </w:pPr>
      <w:r w:rsidRPr="00A17F8B">
        <w:rPr>
          <w:rFonts w:ascii="Tahoma" w:hAnsi="Tahoma" w:cs="Tahoma"/>
          <w:i/>
          <w:sz w:val="18"/>
          <w:szCs w:val="18"/>
        </w:rPr>
        <w:t>Referencia: Carta Fianza Nº 010239139 000</w:t>
      </w:r>
    </w:p>
    <w:p w:rsidR="00F27A35" w:rsidRPr="00A17F8B" w:rsidRDefault="00F27A35" w:rsidP="00F27A35">
      <w:pPr>
        <w:autoSpaceDE w:val="0"/>
        <w:autoSpaceDN w:val="0"/>
        <w:adjustRightInd w:val="0"/>
        <w:ind w:left="709" w:right="282"/>
        <w:jc w:val="both"/>
        <w:rPr>
          <w:rFonts w:ascii="Tahoma" w:hAnsi="Tahoma" w:cs="Tahoma"/>
          <w:i/>
          <w:sz w:val="18"/>
          <w:szCs w:val="18"/>
        </w:rPr>
      </w:pPr>
      <w:r w:rsidRPr="00A17F8B">
        <w:rPr>
          <w:rFonts w:ascii="Tahoma" w:hAnsi="Tahoma" w:cs="Tahoma"/>
          <w:i/>
          <w:sz w:val="18"/>
          <w:szCs w:val="18"/>
        </w:rPr>
        <w:t>Carta Fianza Nº 010239140 000</w:t>
      </w:r>
    </w:p>
    <w:p w:rsidR="00F27A35" w:rsidRPr="00A17F8B" w:rsidRDefault="00F27A35" w:rsidP="00F27A35">
      <w:pPr>
        <w:autoSpaceDE w:val="0"/>
        <w:autoSpaceDN w:val="0"/>
        <w:adjustRightInd w:val="0"/>
        <w:ind w:left="709" w:right="282"/>
        <w:jc w:val="both"/>
        <w:rPr>
          <w:rFonts w:ascii="Tahoma" w:hAnsi="Tahoma" w:cs="Tahoma"/>
          <w:i/>
          <w:sz w:val="18"/>
          <w:szCs w:val="18"/>
        </w:rPr>
      </w:pPr>
    </w:p>
    <w:p w:rsidR="00F27A35" w:rsidRPr="00A17F8B" w:rsidRDefault="00F27A35" w:rsidP="00F27A35">
      <w:pPr>
        <w:autoSpaceDE w:val="0"/>
        <w:autoSpaceDN w:val="0"/>
        <w:adjustRightInd w:val="0"/>
        <w:ind w:left="709" w:right="282"/>
        <w:jc w:val="both"/>
        <w:rPr>
          <w:rFonts w:ascii="Tahoma" w:hAnsi="Tahoma" w:cs="Tahoma"/>
          <w:i/>
          <w:sz w:val="18"/>
          <w:szCs w:val="18"/>
        </w:rPr>
      </w:pPr>
      <w:r w:rsidRPr="00A17F8B">
        <w:rPr>
          <w:rFonts w:ascii="Tahoma" w:hAnsi="Tahoma" w:cs="Tahoma"/>
          <w:i/>
          <w:sz w:val="18"/>
          <w:szCs w:val="18"/>
        </w:rPr>
        <w:t>De nuestra consideración:</w:t>
      </w:r>
    </w:p>
    <w:p w:rsidR="00F27A35" w:rsidRPr="00A17F8B" w:rsidRDefault="00F27A35" w:rsidP="00F27A35">
      <w:pPr>
        <w:autoSpaceDE w:val="0"/>
        <w:autoSpaceDN w:val="0"/>
        <w:adjustRightInd w:val="0"/>
        <w:ind w:left="709" w:right="282"/>
        <w:jc w:val="both"/>
        <w:rPr>
          <w:rFonts w:ascii="Tahoma" w:hAnsi="Tahoma" w:cs="Tahoma"/>
          <w:i/>
          <w:sz w:val="18"/>
          <w:szCs w:val="18"/>
        </w:rPr>
      </w:pPr>
    </w:p>
    <w:p w:rsidR="00F27A35" w:rsidRPr="00A17F8B" w:rsidRDefault="00F27A35" w:rsidP="00F27A35">
      <w:pPr>
        <w:autoSpaceDE w:val="0"/>
        <w:autoSpaceDN w:val="0"/>
        <w:adjustRightInd w:val="0"/>
        <w:ind w:left="709" w:right="282"/>
        <w:jc w:val="both"/>
        <w:rPr>
          <w:rFonts w:ascii="Tahoma" w:hAnsi="Tahoma" w:cs="Tahoma"/>
          <w:i/>
          <w:sz w:val="18"/>
          <w:szCs w:val="18"/>
        </w:rPr>
      </w:pPr>
      <w:r w:rsidRPr="00A17F8B">
        <w:rPr>
          <w:rFonts w:ascii="Tahoma" w:hAnsi="Tahoma" w:cs="Tahoma"/>
          <w:i/>
          <w:sz w:val="18"/>
          <w:szCs w:val="18"/>
        </w:rPr>
        <w:t>Nos dirigimos a ustedes con relación a la información que nos transmitieron respecto de la negativa del Banco de la Nación a aceptar las cartas fianzas de la referencia, en el marco de la Licitación Pública Nº 0011-2010-BN “Adquisición de Cajeros Automáticos y Sistema de Video de Grabación Digital”, aduciendo que dichas cartas fianzas representan una “garantía de oferta” y no la “garantía de seriedad de oferta”, a la que se refiere la normatividad en materia de contratación pública.</w:t>
      </w:r>
    </w:p>
    <w:p w:rsidR="00F27A35" w:rsidRPr="00A17F8B" w:rsidRDefault="00F27A35" w:rsidP="00F27A35">
      <w:pPr>
        <w:autoSpaceDE w:val="0"/>
        <w:autoSpaceDN w:val="0"/>
        <w:adjustRightInd w:val="0"/>
        <w:ind w:left="709" w:right="282"/>
        <w:jc w:val="both"/>
        <w:rPr>
          <w:rFonts w:ascii="Tahoma" w:hAnsi="Tahoma" w:cs="Tahoma"/>
          <w:i/>
          <w:sz w:val="18"/>
          <w:szCs w:val="18"/>
        </w:rPr>
      </w:pPr>
    </w:p>
    <w:p w:rsidR="00F27A35" w:rsidRPr="00A17F8B" w:rsidRDefault="00F27A35" w:rsidP="00F27A35">
      <w:pPr>
        <w:autoSpaceDE w:val="0"/>
        <w:autoSpaceDN w:val="0"/>
        <w:adjustRightInd w:val="0"/>
        <w:ind w:left="709" w:right="282"/>
        <w:jc w:val="both"/>
        <w:rPr>
          <w:rFonts w:ascii="Tahoma" w:hAnsi="Tahoma" w:cs="Tahoma"/>
          <w:i/>
          <w:sz w:val="18"/>
          <w:szCs w:val="18"/>
        </w:rPr>
      </w:pPr>
      <w:r w:rsidRPr="00A17F8B">
        <w:rPr>
          <w:rFonts w:ascii="Tahoma" w:hAnsi="Tahoma" w:cs="Tahoma"/>
          <w:i/>
          <w:sz w:val="18"/>
          <w:szCs w:val="18"/>
        </w:rPr>
        <w:t>Sobre el particular, hacemos de su conocimiento que las dos cartas fianzas son plenamente válidas y eficaces por haberse emitidas conforme a la Ley General del Sistema Financiero y del Sistema de Seguros y Orgánica de la Superitendencia de Banca y Seguros, Ley Nº 26702, y las Circulares dictadas sobre la materia por la SBS.</w:t>
      </w:r>
    </w:p>
    <w:p w:rsidR="00F27A35" w:rsidRPr="00A17F8B" w:rsidRDefault="00F27A35" w:rsidP="00F27A35">
      <w:pPr>
        <w:autoSpaceDE w:val="0"/>
        <w:autoSpaceDN w:val="0"/>
        <w:adjustRightInd w:val="0"/>
        <w:ind w:left="709" w:right="282"/>
        <w:jc w:val="both"/>
        <w:rPr>
          <w:rFonts w:ascii="Tahoma" w:hAnsi="Tahoma" w:cs="Tahoma"/>
          <w:i/>
          <w:sz w:val="18"/>
          <w:szCs w:val="18"/>
        </w:rPr>
      </w:pPr>
    </w:p>
    <w:p w:rsidR="00F27A35" w:rsidRPr="00A17F8B" w:rsidRDefault="00F27A35" w:rsidP="00F27A35">
      <w:pPr>
        <w:autoSpaceDE w:val="0"/>
        <w:autoSpaceDN w:val="0"/>
        <w:adjustRightInd w:val="0"/>
        <w:ind w:left="709" w:right="282"/>
        <w:jc w:val="both"/>
        <w:rPr>
          <w:rFonts w:ascii="Tahoma" w:hAnsi="Tahoma" w:cs="Tahoma"/>
          <w:i/>
          <w:sz w:val="18"/>
          <w:szCs w:val="18"/>
        </w:rPr>
      </w:pPr>
      <w:r w:rsidRPr="00A17F8B">
        <w:rPr>
          <w:rFonts w:ascii="Tahoma" w:hAnsi="Tahoma" w:cs="Tahoma"/>
          <w:i/>
          <w:sz w:val="18"/>
          <w:szCs w:val="18"/>
        </w:rPr>
        <w:t>Adicionalmente, estas cartas fianzas fueron emitidas, a su solicitud y de acuerdo a sus requerimientos, para garantizar la oferta de su Compañía en calidad de postora en la referida Licitación Pública, tal como se desprende de su texto, teniendo la calidad de fianza solidaria, irrevocable, incondicional y de realización automática y con renuncia expresa del beneficio de excusión a favor del Banco de la Nación, estando por tanto conforme a la finalidad prevista en al artículo 157 del Reglamento de la Ley de Contrataciones del Estado. Por ello, la omisión involuntaria del término “seriedad” de que adolecía vuestro texto modelo, que fuera replicado en las cartas fianza emitidas por nuestra institución, no la desnaturaliza ni afecta su eficacia ni genera su invalidez o inejecutabilidad”.</w:t>
      </w:r>
    </w:p>
    <w:p w:rsidR="00F27A35" w:rsidRDefault="00F27A35" w:rsidP="00F27A35">
      <w:pPr>
        <w:tabs>
          <w:tab w:val="left" w:pos="567"/>
        </w:tabs>
        <w:autoSpaceDE w:val="0"/>
        <w:autoSpaceDN w:val="0"/>
        <w:adjustRightInd w:val="0"/>
        <w:ind w:left="454"/>
        <w:jc w:val="both"/>
        <w:rPr>
          <w:rFonts w:ascii="Tahoma" w:hAnsi="Tahoma" w:cs="Tahoma"/>
        </w:rPr>
      </w:pPr>
    </w:p>
    <w:p w:rsidR="00F27A35" w:rsidRPr="004B1D10" w:rsidRDefault="00F27A35" w:rsidP="00F27A35">
      <w:pPr>
        <w:numPr>
          <w:ilvl w:val="0"/>
          <w:numId w:val="15"/>
        </w:numPr>
        <w:autoSpaceDE w:val="0"/>
        <w:autoSpaceDN w:val="0"/>
        <w:adjustRightInd w:val="0"/>
        <w:ind w:left="567" w:hanging="680"/>
        <w:jc w:val="both"/>
        <w:rPr>
          <w:rFonts w:ascii="Tahoma" w:hAnsi="Tahoma" w:cs="Tahoma"/>
          <w:sz w:val="22"/>
          <w:szCs w:val="22"/>
        </w:rPr>
      </w:pPr>
      <w:r w:rsidRPr="004B1D10">
        <w:rPr>
          <w:rFonts w:ascii="Tahoma" w:hAnsi="Tahoma" w:cs="Tahoma"/>
          <w:sz w:val="22"/>
          <w:szCs w:val="22"/>
        </w:rPr>
        <w:t xml:space="preserve">Conforme a los fundamentos expuestos, este Colegiado considera entonces que la propuesta económica del Impugnante debe ser admitida y, por tanto, su descalificación llevada a cabo por el Comité Especial debe ser revocada, debiéndose otorgar la Buena Pro al Impugnante al ser la única propuesta válida en ambos ítems impugnados. En ese sentido, el recurso de apelación presentado por el Impugnante debe ser declarado FUNDADO.  </w:t>
      </w:r>
    </w:p>
    <w:p w:rsidR="00F27A35" w:rsidRPr="00CB0B36" w:rsidRDefault="00F27A35" w:rsidP="00F27A35">
      <w:pPr>
        <w:pStyle w:val="Sangradetextonormal"/>
        <w:widowControl w:val="0"/>
        <w:suppressAutoHyphens/>
        <w:spacing w:after="0"/>
        <w:ind w:left="567"/>
        <w:jc w:val="both"/>
        <w:rPr>
          <w:rFonts w:ascii="Tahoma" w:hAnsi="Tahoma" w:cs="Tahoma"/>
          <w:sz w:val="22"/>
          <w:szCs w:val="22"/>
        </w:rPr>
      </w:pPr>
    </w:p>
    <w:p w:rsidR="00F27A35" w:rsidRDefault="00F27A35" w:rsidP="00F27A35">
      <w:pPr>
        <w:tabs>
          <w:tab w:val="left" w:pos="3544"/>
          <w:tab w:val="left" w:pos="7230"/>
          <w:tab w:val="left" w:pos="8505"/>
        </w:tabs>
        <w:ind w:right="-486" w:firstLine="454"/>
        <w:jc w:val="both"/>
        <w:rPr>
          <w:rFonts w:ascii="Tahoma" w:eastAsiaTheme="minorHAnsi" w:hAnsi="Tahoma" w:cs="Tahoma"/>
          <w:color w:val="000000"/>
          <w:sz w:val="22"/>
          <w:szCs w:val="22"/>
        </w:rPr>
      </w:pPr>
      <w:r w:rsidRPr="00BC0DA0">
        <w:rPr>
          <w:rFonts w:ascii="Tahoma" w:hAnsi="Tahoma" w:cs="Tahoma"/>
          <w:sz w:val="22"/>
          <w:szCs w:val="22"/>
        </w:rPr>
        <w:t xml:space="preserve">Por estos fundamentos, </w:t>
      </w:r>
      <w:r w:rsidRPr="00BC0DA0">
        <w:rPr>
          <w:rFonts w:ascii="Tahoma" w:hAnsi="Tahoma" w:cs="Tahoma"/>
          <w:color w:val="000000"/>
          <w:sz w:val="22"/>
          <w:szCs w:val="22"/>
        </w:rPr>
        <w:t>de conformidad con el inf</w:t>
      </w:r>
      <w:r w:rsidRPr="00BC0DA0">
        <w:rPr>
          <w:rFonts w:ascii="Tahoma" w:eastAsia="Calibri" w:hAnsi="Tahoma" w:cs="Tahoma"/>
          <w:color w:val="000000"/>
          <w:sz w:val="22"/>
          <w:szCs w:val="22"/>
        </w:rPr>
        <w:t xml:space="preserve">orme de la Vocal Ponente Dra. Ada Rosa Basulto Liewald y la intervención de los Señores Vocales </w:t>
      </w:r>
      <w:r w:rsidRPr="00BC0DA0">
        <w:rPr>
          <w:rFonts w:ascii="Tahoma" w:eastAsiaTheme="minorHAnsi" w:hAnsi="Tahoma" w:cs="Tahoma"/>
          <w:color w:val="000000"/>
          <w:sz w:val="22"/>
          <w:szCs w:val="22"/>
        </w:rPr>
        <w:t xml:space="preserve">Dr. Carlos Vicente Navas Rondón y </w:t>
      </w:r>
      <w:r w:rsidRPr="00BC0DA0">
        <w:rPr>
          <w:rFonts w:ascii="Tahoma" w:eastAsia="Calibri" w:hAnsi="Tahoma" w:cs="Tahoma"/>
          <w:color w:val="000000"/>
          <w:sz w:val="22"/>
          <w:szCs w:val="22"/>
        </w:rPr>
        <w:t xml:space="preserve">Dra. Janette Elke Ramírez Maynetto; </w:t>
      </w:r>
      <w:r w:rsidRPr="00BC0DA0">
        <w:rPr>
          <w:rFonts w:ascii="Tahoma" w:eastAsiaTheme="minorHAnsi" w:hAnsi="Tahoma" w:cs="Tahoma"/>
          <w:color w:val="000000"/>
          <w:sz w:val="22"/>
          <w:szCs w:val="22"/>
        </w:rPr>
        <w:t xml:space="preserve">atendiendo a la reconformación de la Primera Sala del Tribunal de contrataciones y Adquisiciones del Estado, según lo dispuesto en la Resolución № 103-2011-OSCE/PRE, expedida el 15 de febrero de 2011; y, en ejercicio </w:t>
      </w:r>
      <w:r w:rsidRPr="00BC0DA0">
        <w:rPr>
          <w:rFonts w:ascii="Tahoma" w:eastAsiaTheme="minorHAnsi" w:hAnsi="Tahoma" w:cs="Tahoma"/>
          <w:color w:val="000000"/>
          <w:sz w:val="22"/>
          <w:szCs w:val="22"/>
        </w:rPr>
        <w:lastRenderedPageBreak/>
        <w:t>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w:t>
      </w:r>
      <w:r>
        <w:rPr>
          <w:rFonts w:ascii="Tahoma" w:eastAsiaTheme="minorHAnsi" w:hAnsi="Tahoma" w:cs="Tahoma"/>
          <w:color w:val="000000"/>
          <w:sz w:val="22"/>
          <w:szCs w:val="22"/>
        </w:rPr>
        <w:t xml:space="preserve"> correspondiente, por mayoría</w:t>
      </w:r>
    </w:p>
    <w:p w:rsidR="00F27A35" w:rsidRPr="00CB0B36" w:rsidRDefault="00F27A35" w:rsidP="00F27A35">
      <w:pPr>
        <w:tabs>
          <w:tab w:val="left" w:pos="3544"/>
          <w:tab w:val="left" w:pos="7230"/>
          <w:tab w:val="left" w:pos="8505"/>
        </w:tabs>
        <w:ind w:right="-486" w:firstLine="454"/>
        <w:jc w:val="both"/>
        <w:rPr>
          <w:rFonts w:ascii="Tahoma" w:hAnsi="Tahoma" w:cs="Tahoma"/>
          <w:sz w:val="22"/>
          <w:szCs w:val="22"/>
        </w:rPr>
      </w:pPr>
    </w:p>
    <w:p w:rsidR="00F27A35" w:rsidRPr="00CB0B36" w:rsidRDefault="00F27A35" w:rsidP="00F27A35">
      <w:pPr>
        <w:tabs>
          <w:tab w:val="num" w:pos="360"/>
          <w:tab w:val="left" w:pos="3544"/>
          <w:tab w:val="left" w:pos="7230"/>
          <w:tab w:val="left" w:pos="8505"/>
        </w:tabs>
        <w:ind w:left="-180" w:right="-486" w:firstLine="180"/>
        <w:jc w:val="both"/>
        <w:rPr>
          <w:rFonts w:ascii="Tahoma" w:hAnsi="Tahoma" w:cs="Tahoma"/>
          <w:b/>
          <w:shadow/>
          <w:sz w:val="22"/>
          <w:szCs w:val="22"/>
        </w:rPr>
      </w:pPr>
      <w:r w:rsidRPr="00CB0B36">
        <w:rPr>
          <w:rFonts w:ascii="Tahoma" w:hAnsi="Tahoma" w:cs="Tahoma"/>
          <w:b/>
          <w:shadow/>
          <w:sz w:val="22"/>
          <w:szCs w:val="22"/>
        </w:rPr>
        <w:t>LA SALA RESUELVE:</w:t>
      </w:r>
    </w:p>
    <w:p w:rsidR="00F27A35" w:rsidRPr="00CB0B36" w:rsidRDefault="00F27A35" w:rsidP="00F27A35">
      <w:pPr>
        <w:tabs>
          <w:tab w:val="num" w:pos="360"/>
          <w:tab w:val="left" w:pos="3544"/>
          <w:tab w:val="left" w:pos="7230"/>
          <w:tab w:val="left" w:pos="8505"/>
        </w:tabs>
        <w:ind w:left="-180" w:right="-486" w:firstLine="180"/>
        <w:jc w:val="both"/>
        <w:rPr>
          <w:rFonts w:ascii="Tahoma" w:hAnsi="Tahoma" w:cs="Tahoma"/>
          <w:b/>
          <w:shadow/>
          <w:sz w:val="22"/>
          <w:szCs w:val="22"/>
        </w:rPr>
      </w:pPr>
    </w:p>
    <w:p w:rsidR="00F27A35" w:rsidRPr="004B1D10" w:rsidRDefault="00F27A35" w:rsidP="00F27A35">
      <w:pPr>
        <w:numPr>
          <w:ilvl w:val="0"/>
          <w:numId w:val="1"/>
        </w:numPr>
        <w:tabs>
          <w:tab w:val="clear" w:pos="454"/>
        </w:tabs>
        <w:ind w:left="567" w:hanging="709"/>
        <w:jc w:val="both"/>
        <w:rPr>
          <w:rFonts w:ascii="Tahoma" w:hAnsi="Tahoma" w:cs="Tahoma"/>
          <w:sz w:val="22"/>
          <w:szCs w:val="22"/>
        </w:rPr>
      </w:pPr>
      <w:r w:rsidRPr="004B1D10">
        <w:rPr>
          <w:rFonts w:ascii="Tahoma" w:hAnsi="Tahoma" w:cs="Tahoma"/>
          <w:sz w:val="22"/>
          <w:szCs w:val="22"/>
        </w:rPr>
        <w:t xml:space="preserve">Declarar fundado el recurso de apelación interpuesto por la empresa Diebold Perú S.R.L. </w:t>
      </w:r>
      <w:r w:rsidRPr="004B1D10">
        <w:rPr>
          <w:rFonts w:ascii="Tahoma" w:hAnsi="Tahoma" w:cs="Tahoma"/>
          <w:color w:val="000000"/>
          <w:sz w:val="22"/>
          <w:szCs w:val="22"/>
        </w:rPr>
        <w:t xml:space="preserve">y, por su efecto, corresponde revocar la </w:t>
      </w:r>
      <w:r w:rsidRPr="004B1D10">
        <w:rPr>
          <w:rFonts w:ascii="Tahoma" w:hAnsi="Tahoma" w:cs="Tahoma"/>
          <w:sz w:val="22"/>
          <w:szCs w:val="22"/>
          <w:lang w:val="es-PE"/>
        </w:rPr>
        <w:t>descalificación</w:t>
      </w:r>
      <w:r w:rsidRPr="004B1D10">
        <w:rPr>
          <w:rFonts w:ascii="Tahoma" w:hAnsi="Tahoma" w:cs="Tahoma"/>
          <w:color w:val="000000"/>
          <w:sz w:val="22"/>
          <w:szCs w:val="22"/>
        </w:rPr>
        <w:t xml:space="preserve"> de su propuesta de </w:t>
      </w:r>
      <w:r w:rsidRPr="004B1D10">
        <w:rPr>
          <w:rFonts w:ascii="Tahoma" w:hAnsi="Tahoma" w:cs="Tahoma"/>
          <w:sz w:val="22"/>
          <w:szCs w:val="22"/>
        </w:rPr>
        <w:t>los ítems Nº 01 y Nº 02, de la Licitación Pública Nº 0011-2010-BN, para la “Adquisición de Cajeros Automáticos y Sistema de Video de Grabación Digital”, por los argumentos expuestos en la parte considerativa de la presente Resolución.</w:t>
      </w:r>
    </w:p>
    <w:p w:rsidR="00F27A35" w:rsidRPr="004B1D10" w:rsidRDefault="00F27A35" w:rsidP="00F27A35">
      <w:pPr>
        <w:ind w:left="567" w:hanging="709"/>
        <w:jc w:val="both"/>
        <w:rPr>
          <w:rFonts w:ascii="Tahoma" w:hAnsi="Tahoma" w:cs="Tahoma"/>
          <w:sz w:val="22"/>
          <w:szCs w:val="22"/>
        </w:rPr>
      </w:pPr>
    </w:p>
    <w:p w:rsidR="00F27A35" w:rsidRPr="004B1D10" w:rsidRDefault="00DD1C0F" w:rsidP="00F27A35">
      <w:pPr>
        <w:numPr>
          <w:ilvl w:val="0"/>
          <w:numId w:val="1"/>
        </w:numPr>
        <w:tabs>
          <w:tab w:val="clear" w:pos="454"/>
        </w:tabs>
        <w:ind w:left="567" w:hanging="709"/>
        <w:jc w:val="both"/>
        <w:rPr>
          <w:rFonts w:ascii="Tahoma" w:hAnsi="Tahoma" w:cs="Tahoma"/>
          <w:sz w:val="22"/>
          <w:szCs w:val="22"/>
        </w:rPr>
      </w:pPr>
      <w:r>
        <w:rPr>
          <w:rFonts w:ascii="Tahoma" w:hAnsi="Tahoma" w:cs="Tahoma"/>
          <w:sz w:val="22"/>
          <w:szCs w:val="22"/>
        </w:rPr>
        <w:t>Otorgar</w:t>
      </w:r>
      <w:r w:rsidR="00F27A35" w:rsidRPr="004B1D10">
        <w:rPr>
          <w:rFonts w:ascii="Tahoma" w:hAnsi="Tahoma" w:cs="Tahoma"/>
          <w:sz w:val="22"/>
          <w:szCs w:val="22"/>
        </w:rPr>
        <w:t xml:space="preserve"> la buena pro a la empresa Diebold Perú S.R.L., al ser la única propuesta válida en los ítems Nº 01 y Nº 02, de la Licitación Pública Nº 0011-2010-BN, para la “Adquisición de Cajeros Automáticos y Sistema de Video de Grabación Digital”, por los argumentos expuestos en la parte considerativa de la presente Resolución.</w:t>
      </w:r>
    </w:p>
    <w:p w:rsidR="00F27A35" w:rsidRPr="004B1D10" w:rsidRDefault="00F27A35" w:rsidP="00F27A35">
      <w:pPr>
        <w:ind w:left="567" w:hanging="709"/>
        <w:jc w:val="both"/>
        <w:rPr>
          <w:rFonts w:ascii="Tahoma" w:hAnsi="Tahoma" w:cs="Tahoma"/>
          <w:sz w:val="22"/>
          <w:szCs w:val="22"/>
        </w:rPr>
      </w:pPr>
    </w:p>
    <w:p w:rsidR="00F27A35" w:rsidRPr="004B1D10" w:rsidRDefault="00F27A35" w:rsidP="00F27A35">
      <w:pPr>
        <w:numPr>
          <w:ilvl w:val="0"/>
          <w:numId w:val="1"/>
        </w:numPr>
        <w:tabs>
          <w:tab w:val="clear" w:pos="454"/>
        </w:tabs>
        <w:ind w:left="567" w:hanging="709"/>
        <w:jc w:val="both"/>
        <w:rPr>
          <w:rFonts w:ascii="Tahoma" w:hAnsi="Tahoma" w:cs="Tahoma"/>
          <w:sz w:val="22"/>
          <w:szCs w:val="22"/>
        </w:rPr>
      </w:pPr>
      <w:r w:rsidRPr="004B1D10">
        <w:rPr>
          <w:rFonts w:ascii="Tahoma" w:hAnsi="Tahoma" w:cs="Tahoma"/>
          <w:sz w:val="22"/>
          <w:szCs w:val="22"/>
        </w:rPr>
        <w:t>Devolver la garantía presentada por el Impugnante para la interposición del presente recurso de apelación.</w:t>
      </w:r>
    </w:p>
    <w:p w:rsidR="00F27A35" w:rsidRPr="004B1D10" w:rsidRDefault="00F27A35" w:rsidP="00F27A35">
      <w:pPr>
        <w:pStyle w:val="Prrafodelista"/>
        <w:ind w:left="567" w:hanging="709"/>
        <w:rPr>
          <w:rFonts w:ascii="Tahoma" w:hAnsi="Tahoma" w:cs="Tahoma"/>
          <w:sz w:val="22"/>
          <w:szCs w:val="22"/>
        </w:rPr>
      </w:pPr>
    </w:p>
    <w:p w:rsidR="00F27A35" w:rsidRPr="004B1D10" w:rsidRDefault="00F27A35" w:rsidP="00F27A35">
      <w:pPr>
        <w:numPr>
          <w:ilvl w:val="0"/>
          <w:numId w:val="1"/>
        </w:numPr>
        <w:tabs>
          <w:tab w:val="clear" w:pos="454"/>
        </w:tabs>
        <w:ind w:left="567" w:hanging="709"/>
        <w:jc w:val="both"/>
        <w:rPr>
          <w:rFonts w:ascii="Tahoma" w:hAnsi="Tahoma" w:cs="Tahoma"/>
          <w:sz w:val="22"/>
          <w:szCs w:val="22"/>
        </w:rPr>
      </w:pPr>
      <w:r w:rsidRPr="004B1D10">
        <w:rPr>
          <w:rFonts w:ascii="Tahoma" w:hAnsi="Tahoma" w:cs="Tahoma"/>
          <w:sz w:val="22"/>
          <w:szCs w:val="22"/>
        </w:rPr>
        <w:t>Disponer la devolución de los antecedentes administrativos a La Entidad, la cual deberá recabarlos en la mesa de partes del Tribunal dentro del plazo de 30 días calendario de notificada la presente resolución; debiendo autorizar por escrito a la persona que realizará  dicha diligencia. En caso contrario, los antecedentes administrativos serán enviados al Archivo Central de OSCE para su custodia por un plazo de seis (6) meses, luego del cual serán remitidos al Archivo General de la Nación, bajo responsabilidad.</w:t>
      </w:r>
    </w:p>
    <w:p w:rsidR="00F27A35" w:rsidRPr="004B1D10" w:rsidRDefault="00F27A35" w:rsidP="00F27A35">
      <w:pPr>
        <w:pStyle w:val="Prrafodelista"/>
        <w:ind w:left="567" w:hanging="709"/>
        <w:rPr>
          <w:rFonts w:ascii="Tahoma" w:hAnsi="Tahoma" w:cs="Tahoma"/>
          <w:sz w:val="22"/>
          <w:szCs w:val="22"/>
        </w:rPr>
      </w:pPr>
    </w:p>
    <w:p w:rsidR="00F27A35" w:rsidRPr="004B1D10" w:rsidRDefault="00F27A35" w:rsidP="00F27A35">
      <w:pPr>
        <w:numPr>
          <w:ilvl w:val="0"/>
          <w:numId w:val="1"/>
        </w:numPr>
        <w:tabs>
          <w:tab w:val="clear" w:pos="454"/>
        </w:tabs>
        <w:ind w:left="567" w:hanging="709"/>
        <w:jc w:val="both"/>
        <w:rPr>
          <w:rFonts w:ascii="Tahoma" w:hAnsi="Tahoma" w:cs="Tahoma"/>
          <w:sz w:val="22"/>
          <w:szCs w:val="22"/>
        </w:rPr>
      </w:pPr>
      <w:r w:rsidRPr="004B1D10">
        <w:rPr>
          <w:rFonts w:ascii="Tahoma" w:hAnsi="Tahoma" w:cs="Tahoma"/>
          <w:sz w:val="22"/>
          <w:szCs w:val="22"/>
        </w:rPr>
        <w:t>Dar por agotada la vía administrativa.</w:t>
      </w:r>
    </w:p>
    <w:p w:rsidR="00F27A35" w:rsidRPr="00CB0B36" w:rsidRDefault="00F27A35" w:rsidP="00F27A35">
      <w:pPr>
        <w:pStyle w:val="Textoindependiente21"/>
        <w:tabs>
          <w:tab w:val="left" w:pos="3544"/>
          <w:tab w:val="left" w:pos="7230"/>
          <w:tab w:val="left" w:pos="8505"/>
        </w:tabs>
        <w:ind w:right="-486"/>
        <w:rPr>
          <w:rFonts w:cs="Tahoma"/>
          <w:szCs w:val="22"/>
        </w:rPr>
      </w:pPr>
    </w:p>
    <w:p w:rsidR="00F27A35" w:rsidRPr="00CB0B36" w:rsidRDefault="00F27A35" w:rsidP="00F27A35">
      <w:pPr>
        <w:pStyle w:val="Textoindependiente21"/>
        <w:tabs>
          <w:tab w:val="left" w:pos="3544"/>
          <w:tab w:val="left" w:pos="7230"/>
          <w:tab w:val="left" w:pos="8505"/>
        </w:tabs>
        <w:ind w:left="567" w:right="-486"/>
        <w:rPr>
          <w:rFonts w:cs="Tahoma"/>
          <w:szCs w:val="22"/>
        </w:rPr>
      </w:pPr>
      <w:r w:rsidRPr="00CB0B36">
        <w:rPr>
          <w:rFonts w:cs="Tahoma"/>
          <w:szCs w:val="22"/>
        </w:rPr>
        <w:t>Regístrese, comuníquese y publíquese.</w:t>
      </w:r>
    </w:p>
    <w:p w:rsidR="00F27A35" w:rsidRPr="00CB0B36" w:rsidRDefault="00F27A35" w:rsidP="00F27A35">
      <w:pPr>
        <w:tabs>
          <w:tab w:val="left" w:pos="3544"/>
          <w:tab w:val="left" w:pos="7230"/>
          <w:tab w:val="left" w:pos="8505"/>
        </w:tabs>
        <w:ind w:right="-486"/>
        <w:jc w:val="center"/>
        <w:rPr>
          <w:rFonts w:ascii="Tahoma" w:hAnsi="Tahoma" w:cs="Tahoma"/>
          <w:b/>
          <w:sz w:val="22"/>
          <w:szCs w:val="22"/>
        </w:rPr>
      </w:pPr>
    </w:p>
    <w:p w:rsidR="00F27A35" w:rsidRDefault="00F27A35" w:rsidP="00F27A35">
      <w:pPr>
        <w:tabs>
          <w:tab w:val="left" w:pos="3544"/>
          <w:tab w:val="left" w:pos="7230"/>
          <w:tab w:val="left" w:pos="8505"/>
        </w:tabs>
        <w:ind w:right="-486"/>
        <w:jc w:val="center"/>
        <w:rPr>
          <w:rFonts w:ascii="Tahoma" w:hAnsi="Tahoma" w:cs="Tahoma"/>
          <w:b/>
          <w:sz w:val="22"/>
          <w:szCs w:val="22"/>
        </w:rPr>
      </w:pPr>
    </w:p>
    <w:p w:rsidR="006E46C7" w:rsidRPr="00CB0B36" w:rsidRDefault="006E46C7" w:rsidP="00F27A35">
      <w:pPr>
        <w:tabs>
          <w:tab w:val="left" w:pos="3544"/>
          <w:tab w:val="left" w:pos="7230"/>
          <w:tab w:val="left" w:pos="8505"/>
        </w:tabs>
        <w:ind w:right="-486"/>
        <w:jc w:val="center"/>
        <w:rPr>
          <w:rFonts w:ascii="Tahoma" w:hAnsi="Tahoma" w:cs="Tahoma"/>
          <w:b/>
          <w:sz w:val="22"/>
          <w:szCs w:val="22"/>
        </w:rPr>
      </w:pPr>
    </w:p>
    <w:p w:rsidR="006E46C7" w:rsidRPr="00CB0B36" w:rsidRDefault="006E46C7" w:rsidP="00F27A35">
      <w:pPr>
        <w:tabs>
          <w:tab w:val="left" w:pos="3544"/>
          <w:tab w:val="left" w:pos="7230"/>
          <w:tab w:val="left" w:pos="8505"/>
        </w:tabs>
        <w:ind w:right="-486"/>
        <w:jc w:val="center"/>
        <w:rPr>
          <w:rFonts w:ascii="Tahoma" w:hAnsi="Tahoma" w:cs="Tahoma"/>
          <w:b/>
          <w:sz w:val="22"/>
          <w:szCs w:val="22"/>
        </w:rPr>
      </w:pPr>
    </w:p>
    <w:p w:rsidR="00F27A35" w:rsidRPr="00CB0B36" w:rsidRDefault="00F27A35" w:rsidP="00F27A35">
      <w:pPr>
        <w:tabs>
          <w:tab w:val="left" w:pos="3544"/>
          <w:tab w:val="left" w:pos="7230"/>
          <w:tab w:val="left" w:pos="8505"/>
        </w:tabs>
        <w:ind w:right="-486"/>
        <w:jc w:val="center"/>
        <w:rPr>
          <w:rFonts w:ascii="Tahoma" w:hAnsi="Tahoma" w:cs="Tahoma"/>
          <w:b/>
          <w:shadow/>
          <w:sz w:val="22"/>
          <w:szCs w:val="22"/>
          <w:lang w:val="pt-BR"/>
        </w:rPr>
      </w:pPr>
      <w:r w:rsidRPr="00CB0B36">
        <w:rPr>
          <w:rFonts w:ascii="Tahoma" w:hAnsi="Tahoma" w:cs="Tahoma"/>
          <w:b/>
          <w:shadow/>
          <w:sz w:val="22"/>
          <w:szCs w:val="22"/>
          <w:lang w:val="pt-BR"/>
        </w:rPr>
        <w:t>PRESIDENTE</w:t>
      </w:r>
    </w:p>
    <w:p w:rsidR="00F27A35" w:rsidRPr="00CB0B36" w:rsidRDefault="00F27A35" w:rsidP="00F27A35">
      <w:pPr>
        <w:tabs>
          <w:tab w:val="left" w:pos="3544"/>
          <w:tab w:val="left" w:pos="7230"/>
          <w:tab w:val="left" w:pos="8505"/>
        </w:tabs>
        <w:ind w:right="-486" w:firstLine="708"/>
        <w:rPr>
          <w:rFonts w:ascii="Tahoma" w:hAnsi="Tahoma" w:cs="Tahoma"/>
          <w:b/>
          <w:shadow/>
          <w:sz w:val="22"/>
          <w:szCs w:val="22"/>
          <w:lang w:val="pt-BR"/>
        </w:rPr>
      </w:pPr>
    </w:p>
    <w:p w:rsidR="00F27A35" w:rsidRPr="00CB0B36" w:rsidRDefault="006E46C7" w:rsidP="00F27A35">
      <w:pPr>
        <w:tabs>
          <w:tab w:val="left" w:pos="3544"/>
          <w:tab w:val="left" w:pos="7230"/>
          <w:tab w:val="left" w:pos="8505"/>
        </w:tabs>
        <w:ind w:right="-486" w:firstLine="708"/>
        <w:rPr>
          <w:rFonts w:ascii="Tahoma" w:hAnsi="Tahoma" w:cs="Tahoma"/>
          <w:shadow/>
          <w:sz w:val="22"/>
          <w:szCs w:val="22"/>
          <w:lang w:val="pt-BR"/>
        </w:rPr>
      </w:pPr>
      <w:r>
        <w:rPr>
          <w:rFonts w:ascii="Tahoma" w:hAnsi="Tahoma" w:cs="Tahoma"/>
          <w:b/>
          <w:shadow/>
          <w:sz w:val="22"/>
          <w:szCs w:val="22"/>
          <w:lang w:val="pt-BR"/>
        </w:rPr>
        <w:t xml:space="preserve">          </w:t>
      </w:r>
      <w:r w:rsidR="00F27A35" w:rsidRPr="00CB0B36">
        <w:rPr>
          <w:rFonts w:ascii="Tahoma" w:hAnsi="Tahoma" w:cs="Tahoma"/>
          <w:b/>
          <w:shadow/>
          <w:sz w:val="22"/>
          <w:szCs w:val="22"/>
          <w:lang w:val="pt-BR"/>
        </w:rPr>
        <w:t xml:space="preserve">                                                                                    VOCAL                                                                                        </w:t>
      </w:r>
    </w:p>
    <w:p w:rsidR="00F27A35" w:rsidRDefault="00F27A35" w:rsidP="00F27A35">
      <w:pPr>
        <w:jc w:val="both"/>
        <w:rPr>
          <w:rFonts w:ascii="Tahoma" w:hAnsi="Tahoma" w:cs="Tahoma"/>
          <w:sz w:val="22"/>
          <w:szCs w:val="22"/>
          <w:lang w:val="pt-BR"/>
        </w:rPr>
      </w:pPr>
      <w:r w:rsidRPr="00CB0B36">
        <w:rPr>
          <w:rFonts w:ascii="Tahoma" w:hAnsi="Tahoma" w:cs="Tahoma"/>
          <w:sz w:val="22"/>
          <w:szCs w:val="22"/>
          <w:lang w:val="pt-BR"/>
        </w:rPr>
        <w:t>ss.</w:t>
      </w:r>
    </w:p>
    <w:p w:rsidR="006E46C7" w:rsidRPr="00CB0B36" w:rsidRDefault="006E46C7" w:rsidP="00F27A35">
      <w:pPr>
        <w:jc w:val="both"/>
        <w:rPr>
          <w:rFonts w:ascii="Tahoma" w:hAnsi="Tahoma" w:cs="Tahoma"/>
          <w:sz w:val="22"/>
          <w:szCs w:val="22"/>
          <w:lang w:val="pt-BR"/>
        </w:rPr>
      </w:pPr>
      <w:r>
        <w:rPr>
          <w:rFonts w:ascii="Tahoma" w:hAnsi="Tahoma" w:cs="Tahoma"/>
          <w:sz w:val="22"/>
          <w:szCs w:val="22"/>
          <w:lang w:val="pt-BR"/>
        </w:rPr>
        <w:t>Navas Rondon</w:t>
      </w:r>
    </w:p>
    <w:p w:rsidR="006E46C7" w:rsidRDefault="00F27A35" w:rsidP="00F27A35">
      <w:pPr>
        <w:pStyle w:val="Textoindependiente21"/>
        <w:tabs>
          <w:tab w:val="left" w:pos="5250"/>
        </w:tabs>
        <w:rPr>
          <w:rFonts w:cs="Tahoma"/>
          <w:szCs w:val="22"/>
          <w:lang w:val="pt-BR"/>
        </w:rPr>
      </w:pPr>
      <w:r w:rsidRPr="00CB0B36">
        <w:rPr>
          <w:rFonts w:cs="Tahoma"/>
          <w:szCs w:val="22"/>
          <w:lang w:val="pt-BR"/>
        </w:rPr>
        <w:t>Basulto Liewald.</w:t>
      </w:r>
    </w:p>
    <w:p w:rsidR="006E46C7" w:rsidRPr="009519A8" w:rsidRDefault="006E46C7" w:rsidP="006E46C7">
      <w:pPr>
        <w:spacing w:after="200" w:line="276" w:lineRule="auto"/>
        <w:jc w:val="center"/>
        <w:rPr>
          <w:rFonts w:ascii="Tahoma" w:hAnsi="Tahoma" w:cs="Tahoma"/>
          <w:b/>
          <w:sz w:val="22"/>
          <w:szCs w:val="22"/>
        </w:rPr>
      </w:pPr>
      <w:r>
        <w:rPr>
          <w:rFonts w:cs="Tahoma"/>
          <w:szCs w:val="22"/>
          <w:lang w:val="pt-BR"/>
        </w:rPr>
        <w:br w:type="page"/>
      </w:r>
      <w:r w:rsidRPr="009519A8">
        <w:rPr>
          <w:rFonts w:ascii="Tahoma" w:hAnsi="Tahoma" w:cs="Tahoma"/>
          <w:b/>
          <w:sz w:val="22"/>
          <w:szCs w:val="22"/>
        </w:rPr>
        <w:lastRenderedPageBreak/>
        <w:t xml:space="preserve">VOTO </w:t>
      </w:r>
      <w:r>
        <w:rPr>
          <w:rFonts w:ascii="Tahoma" w:hAnsi="Tahoma" w:cs="Tahoma"/>
          <w:b/>
          <w:sz w:val="22"/>
          <w:szCs w:val="22"/>
        </w:rPr>
        <w:t>SINGULAR</w:t>
      </w:r>
      <w:r w:rsidRPr="009519A8">
        <w:rPr>
          <w:rFonts w:ascii="Tahoma" w:hAnsi="Tahoma" w:cs="Tahoma"/>
          <w:b/>
          <w:sz w:val="22"/>
          <w:szCs w:val="22"/>
        </w:rPr>
        <w:t xml:space="preserve"> DE </w:t>
      </w:r>
      <w:smartTag w:uri="urn:schemas-microsoft-com:office:smarttags" w:element="PersonName">
        <w:smartTagPr>
          <w:attr w:name="ProductID" w:val="LA VOCAL DE"/>
        </w:smartTagPr>
        <w:r w:rsidRPr="009519A8">
          <w:rPr>
            <w:rFonts w:ascii="Tahoma" w:hAnsi="Tahoma" w:cs="Tahoma"/>
            <w:b/>
            <w:sz w:val="22"/>
            <w:szCs w:val="22"/>
          </w:rPr>
          <w:t>LA VOCAL DE</w:t>
        </w:r>
      </w:smartTag>
      <w:r w:rsidRPr="009519A8">
        <w:rPr>
          <w:rFonts w:ascii="Tahoma" w:hAnsi="Tahoma" w:cs="Tahoma"/>
          <w:b/>
          <w:sz w:val="22"/>
          <w:szCs w:val="22"/>
        </w:rPr>
        <w:t xml:space="preserve"> LA PRIMERA SALA</w:t>
      </w:r>
    </w:p>
    <w:p w:rsidR="006E46C7" w:rsidRPr="009519A8" w:rsidRDefault="006E46C7" w:rsidP="006E46C7">
      <w:pPr>
        <w:jc w:val="center"/>
        <w:rPr>
          <w:rFonts w:ascii="Tahoma" w:hAnsi="Tahoma" w:cs="Tahoma"/>
          <w:b/>
          <w:sz w:val="22"/>
          <w:szCs w:val="22"/>
        </w:rPr>
      </w:pPr>
      <w:r w:rsidRPr="009519A8">
        <w:rPr>
          <w:rFonts w:ascii="Tahoma" w:hAnsi="Tahoma" w:cs="Tahoma"/>
          <w:b/>
          <w:sz w:val="22"/>
          <w:szCs w:val="22"/>
        </w:rPr>
        <w:t xml:space="preserve"> JANETTE ELKE RAMÍREZ MAYNETTO</w:t>
      </w:r>
    </w:p>
    <w:p w:rsidR="006E46C7" w:rsidRPr="009519A8" w:rsidRDefault="006E46C7" w:rsidP="006E46C7">
      <w:pPr>
        <w:jc w:val="both"/>
        <w:rPr>
          <w:rFonts w:ascii="Tahoma" w:hAnsi="Tahoma" w:cs="Tahoma"/>
          <w:sz w:val="22"/>
          <w:szCs w:val="22"/>
        </w:rPr>
      </w:pPr>
    </w:p>
    <w:p w:rsidR="006E46C7" w:rsidRPr="009519A8" w:rsidRDefault="006E46C7" w:rsidP="006E46C7">
      <w:pPr>
        <w:jc w:val="both"/>
        <w:rPr>
          <w:rFonts w:ascii="Tahoma" w:hAnsi="Tahoma" w:cs="Tahoma"/>
          <w:sz w:val="22"/>
          <w:szCs w:val="22"/>
        </w:rPr>
      </w:pPr>
    </w:p>
    <w:p w:rsidR="006E46C7" w:rsidRPr="003C3C64" w:rsidRDefault="006E46C7" w:rsidP="006E46C7">
      <w:pPr>
        <w:jc w:val="both"/>
        <w:rPr>
          <w:rFonts w:ascii="Tahoma" w:hAnsi="Tahoma" w:cs="Tahoma"/>
          <w:sz w:val="22"/>
          <w:szCs w:val="22"/>
          <w:lang w:val="es-PE"/>
        </w:rPr>
      </w:pPr>
      <w:smartTag w:uri="urn:schemas-microsoft-com:office:smarttags" w:element="PersonName">
        <w:smartTagPr>
          <w:attr w:name="ProductID" w:val="La Vocal"/>
        </w:smartTagPr>
        <w:r w:rsidRPr="009519A8">
          <w:rPr>
            <w:rFonts w:ascii="Tahoma" w:hAnsi="Tahoma" w:cs="Tahoma"/>
            <w:sz w:val="22"/>
            <w:szCs w:val="22"/>
          </w:rPr>
          <w:t>La Vocal</w:t>
        </w:r>
      </w:smartTag>
      <w:r w:rsidRPr="009519A8">
        <w:rPr>
          <w:rFonts w:ascii="Tahoma" w:hAnsi="Tahoma" w:cs="Tahoma"/>
          <w:sz w:val="22"/>
          <w:szCs w:val="22"/>
        </w:rPr>
        <w:t xml:space="preserve"> </w:t>
      </w:r>
      <w:r>
        <w:rPr>
          <w:rFonts w:ascii="Tahoma" w:hAnsi="Tahoma" w:cs="Tahoma"/>
          <w:sz w:val="22"/>
          <w:szCs w:val="22"/>
        </w:rPr>
        <w:t>que suscribe</w:t>
      </w:r>
      <w:r w:rsidRPr="003C3C64">
        <w:rPr>
          <w:rFonts w:ascii="Tahoma" w:hAnsi="Tahoma" w:cs="Tahoma"/>
          <w:sz w:val="22"/>
          <w:szCs w:val="22"/>
          <w:lang w:val="es-PE"/>
        </w:rPr>
        <w:t xml:space="preserve">, si bien participa de la decisión adoptada en el Voto en Mayoría de la presente resolución, y considera pertinente abundar en el estudio </w:t>
      </w:r>
      <w:r>
        <w:rPr>
          <w:rFonts w:ascii="Tahoma" w:hAnsi="Tahoma" w:cs="Tahoma"/>
          <w:sz w:val="22"/>
          <w:szCs w:val="22"/>
          <w:lang w:val="es-PE"/>
        </w:rPr>
        <w:t>sobre el carácter no subsanable de la garantía de seriedad de oferta presentada por el Impugnante</w:t>
      </w:r>
      <w:r w:rsidRPr="003C3C64">
        <w:rPr>
          <w:rFonts w:ascii="Tahoma" w:hAnsi="Tahoma" w:cs="Tahoma"/>
          <w:sz w:val="22"/>
          <w:szCs w:val="22"/>
          <w:lang w:val="es-PE"/>
        </w:rPr>
        <w:t>, sustentando su Voto Singular en los fundamentos siguientes:</w:t>
      </w:r>
    </w:p>
    <w:p w:rsidR="006E46C7" w:rsidRPr="003C3C64" w:rsidRDefault="006E46C7" w:rsidP="006E46C7">
      <w:pPr>
        <w:jc w:val="both"/>
        <w:rPr>
          <w:rFonts w:ascii="Tahoma" w:hAnsi="Tahoma" w:cs="Tahoma"/>
          <w:sz w:val="22"/>
          <w:szCs w:val="22"/>
          <w:lang w:val="es-PE"/>
        </w:rPr>
      </w:pPr>
    </w:p>
    <w:p w:rsidR="006E46C7" w:rsidRDefault="006E46C7" w:rsidP="006E46C7">
      <w:pPr>
        <w:numPr>
          <w:ilvl w:val="0"/>
          <w:numId w:val="17"/>
        </w:numPr>
        <w:jc w:val="both"/>
        <w:rPr>
          <w:rFonts w:ascii="Tahoma" w:hAnsi="Tahoma" w:cs="Tahoma"/>
          <w:sz w:val="22"/>
          <w:szCs w:val="22"/>
        </w:rPr>
      </w:pPr>
      <w:r>
        <w:rPr>
          <w:rFonts w:ascii="Tahoma" w:hAnsi="Tahoma" w:cs="Tahoma"/>
          <w:sz w:val="22"/>
          <w:szCs w:val="22"/>
        </w:rPr>
        <w:t xml:space="preserve">En primer término, resulta pertinente enfatizar que </w:t>
      </w:r>
      <w:smartTag w:uri="urn:schemas-microsoft-com:office:smarttags" w:element="PersonName">
        <w:smartTagPr>
          <w:attr w:name="ProductID" w:val="La Vocal"/>
        </w:smartTagPr>
        <w:r>
          <w:rPr>
            <w:rFonts w:ascii="Tahoma" w:hAnsi="Tahoma" w:cs="Tahoma"/>
            <w:sz w:val="22"/>
            <w:szCs w:val="22"/>
          </w:rPr>
          <w:t>la Vocal</w:t>
        </w:r>
      </w:smartTag>
      <w:r>
        <w:rPr>
          <w:rFonts w:ascii="Tahoma" w:hAnsi="Tahoma" w:cs="Tahoma"/>
          <w:sz w:val="22"/>
          <w:szCs w:val="22"/>
        </w:rPr>
        <w:t xml:space="preserve"> suscrita no comparte la postura adoptada en </w:t>
      </w:r>
      <w:smartTag w:uri="urn:schemas-microsoft-com:office:smarttags" w:element="PersonName">
        <w:smartTagPr>
          <w:attr w:name="ProductID" w:val="la Resolución N"/>
        </w:smartTagPr>
        <w:r>
          <w:rPr>
            <w:rFonts w:ascii="Tahoma" w:hAnsi="Tahoma" w:cs="Tahoma"/>
            <w:sz w:val="22"/>
            <w:szCs w:val="22"/>
          </w:rPr>
          <w:t>la Resolución N</w:t>
        </w:r>
      </w:smartTag>
      <w:r>
        <w:rPr>
          <w:rFonts w:ascii="Tahoma" w:hAnsi="Tahoma" w:cs="Tahoma"/>
          <w:sz w:val="22"/>
          <w:szCs w:val="22"/>
        </w:rPr>
        <w:t>º 2118-2009-TC-S2</w:t>
      </w:r>
      <w:r>
        <w:rPr>
          <w:rStyle w:val="Refdenotaalpie"/>
          <w:rFonts w:ascii="Tahoma" w:hAnsi="Tahoma" w:cs="Tahoma"/>
          <w:sz w:val="22"/>
          <w:szCs w:val="22"/>
        </w:rPr>
        <w:footnoteReference w:id="3"/>
      </w:r>
      <w:r>
        <w:rPr>
          <w:rFonts w:ascii="Tahoma" w:hAnsi="Tahoma" w:cs="Tahoma"/>
          <w:sz w:val="22"/>
          <w:szCs w:val="22"/>
        </w:rPr>
        <w:t xml:space="preserve"> de fecha 30 de setiembre, en el cual –por mayoría- se concluyó que la garantía de seriedad de oferta, sin dejar de ser un requisito indispensable, resulta ser subsanable cuando en su emisión se haya incurrido en errores o defectos que no afecten de manera sustancial su objetivo y que hayan sido advertidos por el Comité Especial, pudiendo este órgano solicitar su subsanación.</w:t>
      </w:r>
    </w:p>
    <w:p w:rsidR="006E46C7" w:rsidRDefault="006E46C7" w:rsidP="006E46C7">
      <w:pPr>
        <w:ind w:left="720"/>
        <w:jc w:val="both"/>
        <w:rPr>
          <w:rFonts w:ascii="Tahoma" w:hAnsi="Tahoma" w:cs="Tahoma"/>
          <w:sz w:val="22"/>
          <w:szCs w:val="22"/>
        </w:rPr>
      </w:pPr>
    </w:p>
    <w:p w:rsidR="006E46C7" w:rsidRPr="00EF20F7" w:rsidRDefault="006E46C7" w:rsidP="006E46C7">
      <w:pPr>
        <w:numPr>
          <w:ilvl w:val="0"/>
          <w:numId w:val="17"/>
        </w:numPr>
        <w:jc w:val="both"/>
        <w:rPr>
          <w:rFonts w:ascii="Tahoma" w:hAnsi="Tahoma" w:cs="Tahoma"/>
          <w:i/>
          <w:sz w:val="22"/>
          <w:szCs w:val="22"/>
        </w:rPr>
      </w:pPr>
      <w:r w:rsidRPr="001B2227">
        <w:rPr>
          <w:rFonts w:ascii="Tahoma" w:hAnsi="Tahoma" w:cs="Tahoma"/>
          <w:sz w:val="22"/>
          <w:szCs w:val="22"/>
        </w:rPr>
        <w:t xml:space="preserve">Y es que conforme a lo establecido en el numeral 2 del artículo 42 del Reglamento, la propuesta económica está conformada por: a) la oferta económica y el detalle de precios unitarios cuando este sistema haya sido establecido en las Bases, y b) la garantía de seriedad de oferta, cuando corresponda; siendo que a tenor de </w:t>
      </w:r>
      <w:r>
        <w:rPr>
          <w:rFonts w:ascii="Tahoma" w:hAnsi="Tahoma" w:cs="Tahoma"/>
          <w:sz w:val="22"/>
          <w:szCs w:val="22"/>
        </w:rPr>
        <w:t xml:space="preserve">lo </w:t>
      </w:r>
      <w:r w:rsidRPr="001B2227">
        <w:rPr>
          <w:rFonts w:ascii="Tahoma" w:hAnsi="Tahoma" w:cs="Tahoma"/>
          <w:sz w:val="22"/>
          <w:szCs w:val="22"/>
        </w:rPr>
        <w:t xml:space="preserve">dispuesto en el artículo 68 del Reglamento </w:t>
      </w:r>
      <w:r w:rsidRPr="001B2227">
        <w:rPr>
          <w:rFonts w:ascii="Tahoma" w:hAnsi="Tahoma" w:cs="Tahoma"/>
          <w:i/>
          <w:sz w:val="22"/>
          <w:szCs w:val="22"/>
        </w:rPr>
        <w:t xml:space="preserve">“(…) </w:t>
      </w:r>
      <w:r w:rsidRPr="00BF7C08">
        <w:rPr>
          <w:rFonts w:ascii="Tahoma" w:hAnsi="Tahoma" w:cs="Tahoma"/>
          <w:b/>
          <w:i/>
          <w:sz w:val="22"/>
          <w:szCs w:val="22"/>
        </w:rPr>
        <w:t>no cabe subsanación alguna por omisiones o errores en la propuesta económica, salvo defectos de foliación y de rúbrica de cada uno de los folios que componen la oferta</w:t>
      </w:r>
      <w:r w:rsidRPr="001B2227">
        <w:rPr>
          <w:rFonts w:ascii="Tahoma" w:hAnsi="Tahoma" w:cs="Tahoma"/>
          <w:i/>
          <w:sz w:val="22"/>
          <w:szCs w:val="22"/>
        </w:rPr>
        <w:t>, sin perjuicio de lo dispuesto en el inciso 5) del a</w:t>
      </w:r>
      <w:r>
        <w:rPr>
          <w:rFonts w:ascii="Tahoma" w:hAnsi="Tahoma" w:cs="Tahoma"/>
          <w:i/>
          <w:sz w:val="22"/>
          <w:szCs w:val="22"/>
        </w:rPr>
        <w:t xml:space="preserve">rtículo </w:t>
      </w:r>
      <w:smartTag w:uri="urn:schemas-microsoft-com:office:smarttags" w:element="metricconverter">
        <w:smartTagPr>
          <w:attr w:name="ProductID" w:val="71”"/>
        </w:smartTagPr>
        <w:r>
          <w:rPr>
            <w:rFonts w:ascii="Tahoma" w:hAnsi="Tahoma" w:cs="Tahoma"/>
            <w:i/>
            <w:sz w:val="22"/>
            <w:szCs w:val="22"/>
          </w:rPr>
          <w:t>71”</w:t>
        </w:r>
      </w:smartTag>
      <w:r>
        <w:rPr>
          <w:rFonts w:ascii="Tahoma" w:hAnsi="Tahoma" w:cs="Tahoma"/>
          <w:i/>
          <w:sz w:val="22"/>
          <w:szCs w:val="22"/>
        </w:rPr>
        <w:t xml:space="preserve"> </w:t>
      </w:r>
      <w:r>
        <w:rPr>
          <w:rFonts w:ascii="Tahoma" w:hAnsi="Tahoma" w:cs="Tahoma"/>
          <w:sz w:val="22"/>
          <w:szCs w:val="22"/>
        </w:rPr>
        <w:t>(énfasis agregado)</w:t>
      </w:r>
      <w:r>
        <w:rPr>
          <w:rFonts w:ascii="Tahoma" w:hAnsi="Tahoma" w:cs="Tahoma"/>
          <w:i/>
          <w:sz w:val="22"/>
          <w:szCs w:val="22"/>
        </w:rPr>
        <w:t xml:space="preserve">, </w:t>
      </w:r>
      <w:r>
        <w:rPr>
          <w:rFonts w:ascii="Tahoma" w:hAnsi="Tahoma" w:cs="Tahoma"/>
          <w:sz w:val="22"/>
          <w:szCs w:val="22"/>
        </w:rPr>
        <w:t>a partir de lo cual se desprende que la enmienda en cualquiera de los elementos que forman parte de la propuesta económica está proscrita.</w:t>
      </w:r>
    </w:p>
    <w:p w:rsidR="006E46C7" w:rsidRPr="00EF20F7" w:rsidRDefault="006E46C7" w:rsidP="006E46C7">
      <w:pPr>
        <w:ind w:left="720"/>
        <w:jc w:val="both"/>
        <w:rPr>
          <w:rFonts w:ascii="Tahoma" w:hAnsi="Tahoma" w:cs="Tahoma"/>
          <w:i/>
          <w:sz w:val="22"/>
          <w:szCs w:val="22"/>
        </w:rPr>
      </w:pPr>
    </w:p>
    <w:p w:rsidR="006E46C7" w:rsidRPr="004A60FB" w:rsidRDefault="006E46C7" w:rsidP="006E46C7">
      <w:pPr>
        <w:numPr>
          <w:ilvl w:val="0"/>
          <w:numId w:val="17"/>
        </w:numPr>
        <w:jc w:val="both"/>
        <w:rPr>
          <w:rFonts w:ascii="Tahoma" w:hAnsi="Tahoma" w:cs="Tahoma"/>
          <w:i/>
          <w:sz w:val="22"/>
          <w:szCs w:val="22"/>
        </w:rPr>
      </w:pPr>
      <w:r>
        <w:rPr>
          <w:rFonts w:ascii="Tahoma" w:hAnsi="Tahoma" w:cs="Tahoma"/>
          <w:sz w:val="22"/>
          <w:szCs w:val="22"/>
        </w:rPr>
        <w:t xml:space="preserve">Criterio semejante es el expuesto en el Voto en Discordia que forma parte de </w:t>
      </w:r>
      <w:smartTag w:uri="urn:schemas-microsoft-com:office:smarttags" w:element="PersonName">
        <w:smartTagPr>
          <w:attr w:name="ProductID" w:val="la Resolución N"/>
        </w:smartTagPr>
        <w:r>
          <w:rPr>
            <w:rFonts w:ascii="Tahoma" w:hAnsi="Tahoma" w:cs="Tahoma"/>
            <w:sz w:val="22"/>
            <w:szCs w:val="22"/>
          </w:rPr>
          <w:t>la Resolución N</w:t>
        </w:r>
      </w:smartTag>
      <w:r>
        <w:rPr>
          <w:rFonts w:ascii="Tahoma" w:hAnsi="Tahoma" w:cs="Tahoma"/>
          <w:sz w:val="22"/>
          <w:szCs w:val="22"/>
        </w:rPr>
        <w:t>º 2118-2009-TC-S2, así como también en las Resoluciones Nº 371-2010-TC-S2</w:t>
      </w:r>
      <w:r>
        <w:rPr>
          <w:rStyle w:val="Refdenotaalpie"/>
          <w:rFonts w:ascii="Tahoma" w:hAnsi="Tahoma" w:cs="Tahoma"/>
          <w:sz w:val="22"/>
          <w:szCs w:val="22"/>
        </w:rPr>
        <w:footnoteReference w:id="4"/>
      </w:r>
      <w:r>
        <w:rPr>
          <w:rFonts w:ascii="Tahoma" w:hAnsi="Tahoma" w:cs="Tahoma"/>
          <w:sz w:val="22"/>
          <w:szCs w:val="22"/>
        </w:rPr>
        <w:t xml:space="preserve"> y Nº 490-2010-TC-S2</w:t>
      </w:r>
      <w:r>
        <w:rPr>
          <w:rStyle w:val="Refdenotaalpie"/>
          <w:rFonts w:ascii="Tahoma" w:hAnsi="Tahoma" w:cs="Tahoma"/>
          <w:sz w:val="22"/>
          <w:szCs w:val="22"/>
        </w:rPr>
        <w:footnoteReference w:id="5"/>
      </w:r>
      <w:r>
        <w:rPr>
          <w:rFonts w:ascii="Tahoma" w:hAnsi="Tahoma" w:cs="Tahoma"/>
          <w:sz w:val="22"/>
          <w:szCs w:val="22"/>
        </w:rPr>
        <w:t xml:space="preserve">, emitidas en unanimidad, el cual es compartido por </w:t>
      </w:r>
      <w:smartTag w:uri="urn:schemas-microsoft-com:office:smarttags" w:element="PersonName">
        <w:smartTagPr>
          <w:attr w:name="ProductID" w:val="La Vocal"/>
        </w:smartTagPr>
        <w:r>
          <w:rPr>
            <w:rFonts w:ascii="Tahoma" w:hAnsi="Tahoma" w:cs="Tahoma"/>
            <w:sz w:val="22"/>
            <w:szCs w:val="22"/>
          </w:rPr>
          <w:t>la Vocal</w:t>
        </w:r>
      </w:smartTag>
      <w:r>
        <w:rPr>
          <w:rFonts w:ascii="Tahoma" w:hAnsi="Tahoma" w:cs="Tahoma"/>
          <w:sz w:val="22"/>
          <w:szCs w:val="22"/>
        </w:rPr>
        <w:t xml:space="preserve"> suscrita.</w:t>
      </w:r>
    </w:p>
    <w:p w:rsidR="006E46C7" w:rsidRPr="004C7B75" w:rsidRDefault="006E46C7" w:rsidP="006E46C7">
      <w:pPr>
        <w:ind w:left="720"/>
        <w:jc w:val="both"/>
        <w:rPr>
          <w:rFonts w:ascii="Tahoma" w:hAnsi="Tahoma" w:cs="Tahoma"/>
          <w:i/>
          <w:sz w:val="22"/>
          <w:szCs w:val="22"/>
        </w:rPr>
      </w:pPr>
    </w:p>
    <w:p w:rsidR="006E46C7" w:rsidRPr="00C80F63" w:rsidRDefault="006E46C7" w:rsidP="006E46C7">
      <w:pPr>
        <w:numPr>
          <w:ilvl w:val="0"/>
          <w:numId w:val="17"/>
        </w:numPr>
        <w:jc w:val="both"/>
        <w:rPr>
          <w:rFonts w:ascii="Tahoma" w:hAnsi="Tahoma" w:cs="Tahoma"/>
          <w:i/>
          <w:sz w:val="22"/>
          <w:szCs w:val="22"/>
        </w:rPr>
      </w:pPr>
      <w:r>
        <w:rPr>
          <w:rFonts w:ascii="Tahoma" w:hAnsi="Tahoma" w:cs="Tahoma"/>
          <w:sz w:val="22"/>
          <w:szCs w:val="22"/>
        </w:rPr>
        <w:t xml:space="preserve">Enfocados los hechos desde esta perspectiva, corresponde evaluar si las cartas fianzas presentadas por el Impugnante reúnen los requisitos exigibles a las garantías de seriedad de oferta, previstos en el artículo 39 de </w:t>
      </w:r>
      <w:smartTag w:uri="urn:schemas-microsoft-com:office:smarttags" w:element="PersonName">
        <w:smartTagPr>
          <w:attr w:name="ProductID" w:val="la Ley"/>
        </w:smartTagPr>
        <w:r>
          <w:rPr>
            <w:rFonts w:ascii="Tahoma" w:hAnsi="Tahoma" w:cs="Tahoma"/>
            <w:sz w:val="22"/>
            <w:szCs w:val="22"/>
          </w:rPr>
          <w:t>la Ley</w:t>
        </w:r>
      </w:smartTag>
      <w:r>
        <w:rPr>
          <w:rFonts w:ascii="Tahoma" w:hAnsi="Tahoma" w:cs="Tahoma"/>
          <w:sz w:val="22"/>
          <w:szCs w:val="22"/>
        </w:rPr>
        <w:t xml:space="preserve"> y en el artículo 157 del Reglamento.</w:t>
      </w:r>
    </w:p>
    <w:p w:rsidR="006E46C7" w:rsidRPr="00C80F63" w:rsidRDefault="006E46C7" w:rsidP="006E46C7">
      <w:pPr>
        <w:ind w:left="720"/>
        <w:jc w:val="both"/>
        <w:rPr>
          <w:rFonts w:ascii="Tahoma" w:hAnsi="Tahoma" w:cs="Tahoma"/>
          <w:i/>
          <w:sz w:val="22"/>
          <w:szCs w:val="22"/>
        </w:rPr>
      </w:pPr>
    </w:p>
    <w:p w:rsidR="006E46C7" w:rsidRPr="008F7D8A" w:rsidRDefault="006E46C7" w:rsidP="006E46C7">
      <w:pPr>
        <w:numPr>
          <w:ilvl w:val="0"/>
          <w:numId w:val="17"/>
        </w:numPr>
        <w:jc w:val="both"/>
        <w:rPr>
          <w:rFonts w:ascii="Tahoma" w:hAnsi="Tahoma" w:cs="Tahoma"/>
          <w:i/>
          <w:sz w:val="22"/>
          <w:szCs w:val="22"/>
        </w:rPr>
      </w:pPr>
      <w:r>
        <w:rPr>
          <w:rFonts w:ascii="Tahoma" w:hAnsi="Tahoma" w:cs="Tahoma"/>
          <w:sz w:val="22"/>
          <w:szCs w:val="22"/>
        </w:rPr>
        <w:t>De la revisión de las cartas fianzas presentadas por el Impugnante, se advierte que ambas han sido emitidas como “garantía(s) de oferta”, mas como “garantía(s) de seriedad de oferta”, pese a lo cual se advierte que reúnen los requisitos contemplados en el artículo 39</w:t>
      </w:r>
      <w:r>
        <w:rPr>
          <w:rStyle w:val="Refdenotaalpie"/>
          <w:rFonts w:ascii="Tahoma" w:hAnsi="Tahoma" w:cs="Tahoma"/>
          <w:sz w:val="22"/>
          <w:szCs w:val="22"/>
        </w:rPr>
        <w:footnoteReference w:id="6"/>
      </w:r>
      <w:r>
        <w:rPr>
          <w:rFonts w:ascii="Tahoma" w:hAnsi="Tahoma" w:cs="Tahoma"/>
          <w:sz w:val="22"/>
          <w:szCs w:val="22"/>
        </w:rPr>
        <w:t xml:space="preserve"> de </w:t>
      </w:r>
      <w:smartTag w:uri="urn:schemas-microsoft-com:office:smarttags" w:element="PersonName">
        <w:smartTagPr>
          <w:attr w:name="ProductID" w:val="la Ley"/>
        </w:smartTagPr>
        <w:r>
          <w:rPr>
            <w:rFonts w:ascii="Tahoma" w:hAnsi="Tahoma" w:cs="Tahoma"/>
            <w:sz w:val="22"/>
            <w:szCs w:val="22"/>
          </w:rPr>
          <w:t>la Ley</w:t>
        </w:r>
      </w:smartTag>
      <w:r>
        <w:rPr>
          <w:rFonts w:ascii="Tahoma" w:hAnsi="Tahoma" w:cs="Tahoma"/>
          <w:sz w:val="22"/>
          <w:szCs w:val="22"/>
        </w:rPr>
        <w:t>, es decir, han sido emitidas de manera incondicional, solidaria, irrevocable, de realización automática y con renuncia expresa al beneficio de excusión, así como también los exigidos en el artículo 157</w:t>
      </w:r>
      <w:r>
        <w:rPr>
          <w:rStyle w:val="Refdenotaalpie"/>
          <w:rFonts w:ascii="Tahoma" w:hAnsi="Tahoma" w:cs="Tahoma"/>
          <w:sz w:val="22"/>
          <w:szCs w:val="22"/>
        </w:rPr>
        <w:footnoteReference w:id="7"/>
      </w:r>
      <w:r>
        <w:rPr>
          <w:rFonts w:ascii="Tahoma" w:hAnsi="Tahoma" w:cs="Tahoma"/>
          <w:sz w:val="22"/>
          <w:szCs w:val="22"/>
        </w:rPr>
        <w:t xml:space="preserve"> del Reglamento, en cuanto a su monto y vigencia.</w:t>
      </w:r>
    </w:p>
    <w:p w:rsidR="006E46C7" w:rsidRPr="008F7D8A" w:rsidRDefault="006E46C7" w:rsidP="006E46C7">
      <w:pPr>
        <w:ind w:left="720"/>
        <w:jc w:val="both"/>
        <w:rPr>
          <w:rFonts w:ascii="Tahoma" w:hAnsi="Tahoma" w:cs="Tahoma"/>
          <w:i/>
          <w:sz w:val="22"/>
          <w:szCs w:val="22"/>
        </w:rPr>
      </w:pPr>
    </w:p>
    <w:p w:rsidR="006E46C7" w:rsidRPr="00901FA1" w:rsidRDefault="006E46C7" w:rsidP="006E46C7">
      <w:pPr>
        <w:numPr>
          <w:ilvl w:val="0"/>
          <w:numId w:val="17"/>
        </w:numPr>
        <w:jc w:val="both"/>
        <w:rPr>
          <w:rFonts w:ascii="Tahoma" w:hAnsi="Tahoma" w:cs="Tahoma"/>
          <w:i/>
          <w:sz w:val="22"/>
          <w:szCs w:val="22"/>
        </w:rPr>
      </w:pPr>
      <w:r>
        <w:rPr>
          <w:rFonts w:ascii="Tahoma" w:hAnsi="Tahoma" w:cs="Tahoma"/>
          <w:sz w:val="22"/>
          <w:szCs w:val="22"/>
        </w:rPr>
        <w:t xml:space="preserve">En ese contexto, </w:t>
      </w:r>
      <w:smartTag w:uri="urn:schemas-microsoft-com:office:smarttags" w:element="PersonName">
        <w:smartTagPr>
          <w:attr w:name="ProductID" w:val="La Vocal"/>
        </w:smartTagPr>
        <w:r>
          <w:rPr>
            <w:rFonts w:ascii="Tahoma" w:hAnsi="Tahoma" w:cs="Tahoma"/>
            <w:sz w:val="22"/>
            <w:szCs w:val="22"/>
          </w:rPr>
          <w:t>la Vocal</w:t>
        </w:r>
      </w:smartTag>
      <w:r>
        <w:rPr>
          <w:rFonts w:ascii="Tahoma" w:hAnsi="Tahoma" w:cs="Tahoma"/>
          <w:sz w:val="22"/>
          <w:szCs w:val="22"/>
        </w:rPr>
        <w:t xml:space="preserve"> suscrita concluye que el hecho que en dichas cartas fianzas no se haya incluido expresamente el término “seriedad” no les resta idoneidad como garantías que respaldan la seriedad de la oferta del Impugnante.</w:t>
      </w:r>
    </w:p>
    <w:p w:rsidR="006E46C7" w:rsidRPr="00901FA1" w:rsidRDefault="006E46C7" w:rsidP="006E46C7">
      <w:pPr>
        <w:ind w:left="720"/>
        <w:jc w:val="both"/>
        <w:rPr>
          <w:rFonts w:ascii="Tahoma" w:hAnsi="Tahoma" w:cs="Tahoma"/>
          <w:i/>
          <w:sz w:val="22"/>
          <w:szCs w:val="22"/>
        </w:rPr>
      </w:pPr>
    </w:p>
    <w:p w:rsidR="006E46C7" w:rsidRPr="00AE1065" w:rsidRDefault="006E46C7" w:rsidP="006E46C7">
      <w:pPr>
        <w:numPr>
          <w:ilvl w:val="0"/>
          <w:numId w:val="17"/>
        </w:numPr>
        <w:jc w:val="both"/>
        <w:rPr>
          <w:rFonts w:ascii="Tahoma" w:hAnsi="Tahoma" w:cs="Tahoma"/>
          <w:i/>
          <w:sz w:val="22"/>
          <w:szCs w:val="22"/>
        </w:rPr>
      </w:pPr>
      <w:r>
        <w:rPr>
          <w:rFonts w:ascii="Tahoma" w:hAnsi="Tahoma" w:cs="Tahoma"/>
          <w:sz w:val="22"/>
          <w:szCs w:val="22"/>
        </w:rPr>
        <w:t xml:space="preserve">Resulta imprescindible destacar, sin embargo, que esta conclusión no implica consentir una eventual subsanación de las observaciones advertidas en las garantías presentadas, ya que de acuerdo a lo expresado precedentemente, se considera que las garantías que adjuntó primigeniamente el Impugnante son válidas </w:t>
      </w:r>
      <w:r>
        <w:rPr>
          <w:rFonts w:ascii="Tahoma" w:hAnsi="Tahoma" w:cs="Tahoma"/>
          <w:i/>
          <w:sz w:val="22"/>
          <w:szCs w:val="22"/>
        </w:rPr>
        <w:t>per se</w:t>
      </w:r>
      <w:r>
        <w:rPr>
          <w:rFonts w:ascii="Tahoma" w:hAnsi="Tahoma" w:cs="Tahoma"/>
          <w:sz w:val="22"/>
          <w:szCs w:val="22"/>
        </w:rPr>
        <w:t xml:space="preserve">, no requiriéndose enmienda o subsanación alguna; debiendo dejarse sentado que </w:t>
      </w:r>
      <w:smartTag w:uri="urn:schemas-microsoft-com:office:smarttags" w:element="PersonName">
        <w:smartTagPr>
          <w:attr w:name="ProductID" w:val="La Vocal"/>
        </w:smartTagPr>
        <w:r>
          <w:rPr>
            <w:rFonts w:ascii="Tahoma" w:hAnsi="Tahoma" w:cs="Tahoma"/>
            <w:sz w:val="22"/>
            <w:szCs w:val="22"/>
          </w:rPr>
          <w:t>la Vocal</w:t>
        </w:r>
      </w:smartTag>
      <w:r>
        <w:rPr>
          <w:rFonts w:ascii="Tahoma" w:hAnsi="Tahoma" w:cs="Tahoma"/>
          <w:sz w:val="22"/>
          <w:szCs w:val="22"/>
        </w:rPr>
        <w:t xml:space="preserve"> suscrita considera que no resultan aplicables al caso de autos los criterios expuestos en </w:t>
      </w:r>
      <w:smartTag w:uri="urn:schemas-microsoft-com:office:smarttags" w:element="PersonName">
        <w:smartTagPr>
          <w:attr w:name="ProductID" w:val="la Resolución N"/>
        </w:smartTagPr>
        <w:r>
          <w:rPr>
            <w:rFonts w:ascii="Tahoma" w:hAnsi="Tahoma" w:cs="Tahoma"/>
            <w:sz w:val="22"/>
            <w:szCs w:val="22"/>
          </w:rPr>
          <w:t>la Resolución N</w:t>
        </w:r>
      </w:smartTag>
      <w:r>
        <w:rPr>
          <w:rFonts w:ascii="Tahoma" w:hAnsi="Tahoma" w:cs="Tahoma"/>
          <w:sz w:val="22"/>
          <w:szCs w:val="22"/>
        </w:rPr>
        <w:t>º 075-2011-TC-S1</w:t>
      </w:r>
      <w:r>
        <w:rPr>
          <w:rStyle w:val="Refdenotaalpie"/>
          <w:rFonts w:ascii="Tahoma" w:hAnsi="Tahoma" w:cs="Tahoma"/>
          <w:sz w:val="22"/>
          <w:szCs w:val="22"/>
        </w:rPr>
        <w:footnoteReference w:id="8"/>
      </w:r>
      <w:r>
        <w:rPr>
          <w:rFonts w:ascii="Tahoma" w:hAnsi="Tahoma" w:cs="Tahoma"/>
          <w:sz w:val="22"/>
          <w:szCs w:val="22"/>
        </w:rPr>
        <w:t xml:space="preserve"> en la que, por mayoría, se concluyó que la falta de publicación de la fecha de </w:t>
      </w:r>
      <w:r>
        <w:rPr>
          <w:rFonts w:ascii="Tahoma" w:hAnsi="Tahoma" w:cs="Tahoma"/>
          <w:sz w:val="22"/>
          <w:szCs w:val="22"/>
        </w:rPr>
        <w:lastRenderedPageBreak/>
        <w:t>evaluación y calificación de propuestas habría imposibilitado que el Impugnante presente la renovación de la carta fianza en la fecha en la cual venció, ni en el Acuerdo Nº 060/2010.TC-S1</w:t>
      </w:r>
      <w:r>
        <w:rPr>
          <w:rStyle w:val="Refdenotaalpie"/>
          <w:rFonts w:ascii="Tahoma" w:hAnsi="Tahoma" w:cs="Tahoma"/>
          <w:sz w:val="22"/>
          <w:szCs w:val="22"/>
        </w:rPr>
        <w:footnoteReference w:id="9"/>
      </w:r>
      <w:r>
        <w:rPr>
          <w:rFonts w:ascii="Tahoma" w:hAnsi="Tahoma" w:cs="Tahoma"/>
          <w:sz w:val="22"/>
          <w:szCs w:val="22"/>
        </w:rPr>
        <w:t xml:space="preserve"> en el que, por mayoría de la cual discrepó quien suscribe, se determinó la existencia de un hecho susceptible de aclaración en la garantía que respaldó el recurso de apelación.</w:t>
      </w:r>
    </w:p>
    <w:p w:rsidR="006E46C7" w:rsidRPr="00AE1065" w:rsidRDefault="006E46C7" w:rsidP="006E46C7">
      <w:pPr>
        <w:ind w:left="720"/>
        <w:jc w:val="both"/>
        <w:rPr>
          <w:rFonts w:ascii="Tahoma" w:hAnsi="Tahoma" w:cs="Tahoma"/>
          <w:i/>
          <w:sz w:val="22"/>
          <w:szCs w:val="22"/>
        </w:rPr>
      </w:pPr>
    </w:p>
    <w:p w:rsidR="006E46C7" w:rsidRPr="0063725F" w:rsidRDefault="006E46C7" w:rsidP="006E46C7">
      <w:pPr>
        <w:numPr>
          <w:ilvl w:val="0"/>
          <w:numId w:val="17"/>
        </w:numPr>
        <w:jc w:val="both"/>
        <w:rPr>
          <w:rFonts w:ascii="Tahoma" w:hAnsi="Tahoma" w:cs="Tahoma"/>
          <w:i/>
          <w:sz w:val="22"/>
          <w:szCs w:val="22"/>
        </w:rPr>
      </w:pPr>
      <w:r>
        <w:rPr>
          <w:rFonts w:ascii="Tahoma" w:hAnsi="Tahoma" w:cs="Tahoma"/>
          <w:sz w:val="22"/>
          <w:szCs w:val="22"/>
        </w:rPr>
        <w:t xml:space="preserve">Además, no debe perderse de vista que el propio Banco Scotiabank, emisor de las fianzas, ha ratificado ante el Impugnante su emisión, validez y eficacia, concluyendo que </w:t>
      </w:r>
      <w:r>
        <w:rPr>
          <w:rFonts w:ascii="Tahoma" w:hAnsi="Tahoma" w:cs="Tahoma"/>
          <w:i/>
          <w:sz w:val="22"/>
          <w:szCs w:val="22"/>
        </w:rPr>
        <w:t>“(…) la omisión involuntaria del término “seriedad” de que adolecía vuestro texto modelo, que fuera replicado en las cartas fianza emitidas por nuestra institución, no la desnaturaliza ni afecta su eficacia ni genera su invalidez o inejecutabilidad”.</w:t>
      </w:r>
    </w:p>
    <w:p w:rsidR="006E46C7" w:rsidRPr="0063725F" w:rsidRDefault="006E46C7" w:rsidP="006E46C7">
      <w:pPr>
        <w:ind w:left="720"/>
        <w:jc w:val="both"/>
        <w:rPr>
          <w:rFonts w:ascii="Tahoma" w:hAnsi="Tahoma" w:cs="Tahoma"/>
          <w:i/>
          <w:sz w:val="22"/>
          <w:szCs w:val="22"/>
        </w:rPr>
      </w:pPr>
    </w:p>
    <w:p w:rsidR="006E46C7" w:rsidRPr="005407CA" w:rsidRDefault="006E46C7" w:rsidP="006E46C7">
      <w:pPr>
        <w:numPr>
          <w:ilvl w:val="0"/>
          <w:numId w:val="17"/>
        </w:numPr>
        <w:jc w:val="both"/>
        <w:rPr>
          <w:rFonts w:ascii="Tahoma" w:hAnsi="Tahoma" w:cs="Tahoma"/>
          <w:i/>
          <w:sz w:val="22"/>
          <w:szCs w:val="22"/>
        </w:rPr>
      </w:pPr>
      <w:r>
        <w:rPr>
          <w:rFonts w:ascii="Tahoma" w:hAnsi="Tahoma" w:cs="Tahoma"/>
          <w:sz w:val="22"/>
          <w:szCs w:val="22"/>
        </w:rPr>
        <w:t>Teniendo en cuenta lo anterior, queda claro que la ulterior presentación de las cartas fianzas emitidas por el Banco Scotiabank el 10 de enero de 2011, en las que se consigna expresamente que han sido emitidas en respaldo de “la seriedad de oferta”, resulta irrelevante para los fines del presente proceso de selección, debiendo tenérselas por no presentadas.</w:t>
      </w:r>
    </w:p>
    <w:p w:rsidR="006E46C7" w:rsidRPr="005407CA" w:rsidRDefault="006E46C7" w:rsidP="006E46C7">
      <w:pPr>
        <w:ind w:left="720"/>
        <w:jc w:val="both"/>
        <w:rPr>
          <w:rFonts w:ascii="Tahoma" w:hAnsi="Tahoma" w:cs="Tahoma"/>
          <w:i/>
          <w:sz w:val="22"/>
          <w:szCs w:val="22"/>
        </w:rPr>
      </w:pPr>
    </w:p>
    <w:p w:rsidR="006E46C7" w:rsidRDefault="006E46C7" w:rsidP="006E46C7">
      <w:pPr>
        <w:numPr>
          <w:ilvl w:val="0"/>
          <w:numId w:val="17"/>
        </w:numPr>
        <w:jc w:val="both"/>
        <w:rPr>
          <w:rFonts w:ascii="Tahoma" w:hAnsi="Tahoma" w:cs="Tahoma"/>
          <w:sz w:val="22"/>
          <w:szCs w:val="22"/>
        </w:rPr>
      </w:pPr>
      <w:r>
        <w:rPr>
          <w:rFonts w:ascii="Tahoma" w:hAnsi="Tahoma" w:cs="Tahoma"/>
          <w:sz w:val="22"/>
          <w:szCs w:val="22"/>
        </w:rPr>
        <w:t xml:space="preserve">Por los fundamentos expuestos, </w:t>
      </w:r>
      <w:smartTag w:uri="urn:schemas-microsoft-com:office:smarttags" w:element="PersonName">
        <w:smartTagPr>
          <w:attr w:name="ProductID" w:val="La Vocal"/>
        </w:smartTagPr>
        <w:r>
          <w:rPr>
            <w:rFonts w:ascii="Tahoma" w:hAnsi="Tahoma" w:cs="Tahoma"/>
            <w:sz w:val="22"/>
            <w:szCs w:val="22"/>
          </w:rPr>
          <w:t>la Vocal</w:t>
        </w:r>
      </w:smartTag>
      <w:r>
        <w:rPr>
          <w:rFonts w:ascii="Tahoma" w:hAnsi="Tahoma" w:cs="Tahoma"/>
          <w:sz w:val="22"/>
          <w:szCs w:val="22"/>
        </w:rPr>
        <w:t xml:space="preserve"> suscrita concluye que corresponde amparar el recurso de apelación interpuesto por el Impugnante, el cual deviene fundado, </w:t>
      </w:r>
      <w:r w:rsidRPr="008807D2">
        <w:rPr>
          <w:rFonts w:ascii="Tahoma" w:hAnsi="Tahoma" w:cs="Tahoma"/>
          <w:sz w:val="22"/>
          <w:szCs w:val="22"/>
        </w:rPr>
        <w:t>debiéndosele otorgar la buena pro, al ser la única propuesta válida en ambos ítems impugnados.</w:t>
      </w:r>
    </w:p>
    <w:p w:rsidR="006E46C7" w:rsidRDefault="006E46C7" w:rsidP="006E46C7">
      <w:pPr>
        <w:ind w:left="720"/>
        <w:jc w:val="both"/>
        <w:rPr>
          <w:rFonts w:ascii="Tahoma" w:hAnsi="Tahoma" w:cs="Tahoma"/>
          <w:sz w:val="22"/>
          <w:szCs w:val="22"/>
        </w:rPr>
      </w:pPr>
    </w:p>
    <w:p w:rsidR="006E46C7" w:rsidRDefault="006E46C7" w:rsidP="006E46C7">
      <w:pPr>
        <w:ind w:left="720"/>
        <w:jc w:val="both"/>
        <w:rPr>
          <w:rFonts w:ascii="Tahoma" w:hAnsi="Tahoma" w:cs="Tahoma"/>
          <w:sz w:val="22"/>
          <w:szCs w:val="22"/>
        </w:rPr>
      </w:pPr>
    </w:p>
    <w:p w:rsidR="006E46C7" w:rsidRDefault="006E46C7" w:rsidP="006E46C7">
      <w:pPr>
        <w:ind w:left="720"/>
        <w:jc w:val="both"/>
        <w:rPr>
          <w:rFonts w:ascii="Tahoma" w:hAnsi="Tahoma" w:cs="Tahoma"/>
          <w:sz w:val="22"/>
          <w:szCs w:val="22"/>
        </w:rPr>
      </w:pPr>
    </w:p>
    <w:p w:rsidR="006E46C7" w:rsidRDefault="006E46C7" w:rsidP="006E46C7">
      <w:pPr>
        <w:ind w:left="720"/>
        <w:jc w:val="both"/>
        <w:rPr>
          <w:rFonts w:ascii="Tahoma" w:hAnsi="Tahoma" w:cs="Tahoma"/>
          <w:sz w:val="22"/>
          <w:szCs w:val="22"/>
        </w:rPr>
      </w:pPr>
    </w:p>
    <w:p w:rsidR="00694CE9" w:rsidRDefault="00694CE9" w:rsidP="006E46C7">
      <w:pPr>
        <w:ind w:left="720"/>
        <w:jc w:val="both"/>
        <w:rPr>
          <w:rFonts w:ascii="Tahoma" w:hAnsi="Tahoma" w:cs="Tahoma"/>
          <w:sz w:val="22"/>
          <w:szCs w:val="22"/>
        </w:rPr>
      </w:pPr>
    </w:p>
    <w:p w:rsidR="00694CE9" w:rsidRDefault="00694CE9" w:rsidP="006E46C7">
      <w:pPr>
        <w:ind w:left="720"/>
        <w:jc w:val="both"/>
        <w:rPr>
          <w:rFonts w:ascii="Tahoma" w:hAnsi="Tahoma" w:cs="Tahoma"/>
          <w:sz w:val="22"/>
          <w:szCs w:val="22"/>
        </w:rPr>
      </w:pPr>
    </w:p>
    <w:p w:rsidR="006E46C7" w:rsidRPr="009519A8" w:rsidRDefault="006E46C7" w:rsidP="006E46C7">
      <w:pPr>
        <w:ind w:left="720"/>
        <w:jc w:val="both"/>
        <w:rPr>
          <w:rFonts w:ascii="Tahoma" w:hAnsi="Tahoma" w:cs="Tahoma"/>
          <w:sz w:val="22"/>
          <w:szCs w:val="22"/>
        </w:rPr>
      </w:pPr>
    </w:p>
    <w:p w:rsidR="006E46C7" w:rsidRPr="009519A8" w:rsidRDefault="006E46C7" w:rsidP="006E46C7">
      <w:pPr>
        <w:jc w:val="center"/>
        <w:rPr>
          <w:rFonts w:ascii="Tahoma" w:hAnsi="Tahoma" w:cs="Tahoma"/>
          <w:b/>
          <w:sz w:val="22"/>
          <w:szCs w:val="22"/>
          <w:lang w:val="es-ES_tradnl"/>
        </w:rPr>
      </w:pPr>
      <w:r w:rsidRPr="009519A8">
        <w:rPr>
          <w:rFonts w:ascii="Tahoma" w:hAnsi="Tahoma" w:cs="Tahoma"/>
          <w:b/>
          <w:sz w:val="22"/>
          <w:szCs w:val="22"/>
          <w:lang w:val="es-ES_tradnl"/>
        </w:rPr>
        <w:t>JANETTE ELKE RAMÍREZ MAYNETTO</w:t>
      </w:r>
    </w:p>
    <w:p w:rsidR="006E46C7" w:rsidRPr="009519A8" w:rsidRDefault="006E46C7" w:rsidP="006E46C7">
      <w:pPr>
        <w:jc w:val="center"/>
        <w:rPr>
          <w:rFonts w:ascii="Tahoma" w:hAnsi="Tahoma" w:cs="Tahoma"/>
          <w:b/>
          <w:sz w:val="22"/>
          <w:szCs w:val="22"/>
        </w:rPr>
      </w:pPr>
      <w:r w:rsidRPr="009519A8">
        <w:rPr>
          <w:rFonts w:ascii="Tahoma" w:hAnsi="Tahoma" w:cs="Tahoma"/>
          <w:b/>
          <w:sz w:val="22"/>
          <w:szCs w:val="22"/>
          <w:lang w:val="es-ES_tradnl"/>
        </w:rPr>
        <w:t xml:space="preserve">Vocal de </w:t>
      </w:r>
      <w:smartTag w:uri="urn:schemas-microsoft-com:office:smarttags" w:element="PersonName">
        <w:smartTagPr>
          <w:attr w:name="ProductID" w:val="LA PRIMERA SALA"/>
        </w:smartTagPr>
        <w:r w:rsidRPr="009519A8">
          <w:rPr>
            <w:rFonts w:ascii="Tahoma" w:hAnsi="Tahoma" w:cs="Tahoma"/>
            <w:b/>
            <w:sz w:val="22"/>
            <w:szCs w:val="22"/>
            <w:lang w:val="es-ES_tradnl"/>
          </w:rPr>
          <w:t>la Primera Sala</w:t>
        </w:r>
      </w:smartTag>
      <w:r w:rsidRPr="009519A8">
        <w:rPr>
          <w:rFonts w:ascii="Tahoma" w:hAnsi="Tahoma" w:cs="Tahoma"/>
          <w:b/>
          <w:sz w:val="22"/>
          <w:szCs w:val="22"/>
          <w:lang w:val="es-ES_tradnl"/>
        </w:rPr>
        <w:t xml:space="preserve"> del Tribunal</w:t>
      </w:r>
    </w:p>
    <w:p w:rsidR="00F27A35" w:rsidRPr="006E46C7" w:rsidRDefault="00F27A35" w:rsidP="00F27A35">
      <w:pPr>
        <w:pStyle w:val="Textoindependiente21"/>
        <w:tabs>
          <w:tab w:val="left" w:pos="5250"/>
        </w:tabs>
        <w:rPr>
          <w:rFonts w:cs="Tahoma"/>
          <w:szCs w:val="22"/>
        </w:rPr>
      </w:pPr>
    </w:p>
    <w:p w:rsidR="008B738B" w:rsidRDefault="00E66DBE"/>
    <w:sectPr w:rsidR="008B738B" w:rsidSect="00F62AC8">
      <w:headerReference w:type="default" r:id="rId7"/>
      <w:footerReference w:type="even" r:id="rId8"/>
      <w:footerReference w:type="default" r:id="rId9"/>
      <w:pgSz w:w="11907" w:h="16840" w:code="9"/>
      <w:pgMar w:top="3232" w:right="1701" w:bottom="1418" w:left="1701" w:header="720" w:footer="6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DBE" w:rsidRDefault="00E66DBE" w:rsidP="00F27A35">
      <w:r>
        <w:separator/>
      </w:r>
    </w:p>
  </w:endnote>
  <w:endnote w:type="continuationSeparator" w:id="1">
    <w:p w:rsidR="00E66DBE" w:rsidRDefault="00E66DBE" w:rsidP="00F27A35">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52" w:rsidRDefault="009C46AF" w:rsidP="00E66316">
    <w:pPr>
      <w:pStyle w:val="Piedepgina"/>
      <w:framePr w:wrap="around" w:vAnchor="text" w:hAnchor="margin" w:xAlign="center" w:y="1"/>
      <w:rPr>
        <w:rStyle w:val="Nmerodepgina"/>
      </w:rPr>
    </w:pPr>
    <w:r>
      <w:rPr>
        <w:rStyle w:val="Nmerodepgina"/>
      </w:rPr>
      <w:fldChar w:fldCharType="begin"/>
    </w:r>
    <w:r w:rsidR="00FA2B78">
      <w:rPr>
        <w:rStyle w:val="Nmerodepgina"/>
      </w:rPr>
      <w:instrText xml:space="preserve">PAGE  </w:instrText>
    </w:r>
    <w:r>
      <w:rPr>
        <w:rStyle w:val="Nmerodepgina"/>
      </w:rPr>
      <w:fldChar w:fldCharType="end"/>
    </w:r>
  </w:p>
  <w:p w:rsidR="00E57252" w:rsidRDefault="00E66DBE">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3207"/>
      <w:docPartObj>
        <w:docPartGallery w:val="Page Numbers (Bottom of Page)"/>
        <w:docPartUnique/>
      </w:docPartObj>
    </w:sdtPr>
    <w:sdtContent>
      <w:sdt>
        <w:sdtPr>
          <w:id w:val="216747541"/>
          <w:docPartObj>
            <w:docPartGallery w:val="Page Numbers (Top of Page)"/>
            <w:docPartUnique/>
          </w:docPartObj>
        </w:sdtPr>
        <w:sdtContent>
          <w:p w:rsidR="00E97D2B" w:rsidRDefault="00FA2B78">
            <w:pPr>
              <w:pStyle w:val="Piedepgina"/>
              <w:jc w:val="center"/>
            </w:pPr>
            <w:r>
              <w:t xml:space="preserve">Página </w:t>
            </w:r>
            <w:r w:rsidR="009C46AF">
              <w:rPr>
                <w:b/>
                <w:szCs w:val="24"/>
              </w:rPr>
              <w:fldChar w:fldCharType="begin"/>
            </w:r>
            <w:r>
              <w:rPr>
                <w:b/>
              </w:rPr>
              <w:instrText>PAGE</w:instrText>
            </w:r>
            <w:r w:rsidR="009C46AF">
              <w:rPr>
                <w:b/>
                <w:szCs w:val="24"/>
              </w:rPr>
              <w:fldChar w:fldCharType="separate"/>
            </w:r>
            <w:r w:rsidR="00F06F83">
              <w:rPr>
                <w:b/>
                <w:noProof/>
              </w:rPr>
              <w:t>1</w:t>
            </w:r>
            <w:r w:rsidR="009C46AF">
              <w:rPr>
                <w:b/>
                <w:szCs w:val="24"/>
              </w:rPr>
              <w:fldChar w:fldCharType="end"/>
            </w:r>
            <w:r>
              <w:t xml:space="preserve"> de </w:t>
            </w:r>
            <w:r w:rsidR="009C46AF">
              <w:rPr>
                <w:b/>
                <w:szCs w:val="24"/>
              </w:rPr>
              <w:fldChar w:fldCharType="begin"/>
            </w:r>
            <w:r>
              <w:rPr>
                <w:b/>
              </w:rPr>
              <w:instrText>NUMPAGES</w:instrText>
            </w:r>
            <w:r w:rsidR="009C46AF">
              <w:rPr>
                <w:b/>
                <w:szCs w:val="24"/>
              </w:rPr>
              <w:fldChar w:fldCharType="separate"/>
            </w:r>
            <w:r w:rsidR="00F06F83">
              <w:rPr>
                <w:b/>
                <w:noProof/>
              </w:rPr>
              <w:t>17</w:t>
            </w:r>
            <w:r w:rsidR="009C46AF">
              <w:rPr>
                <w:b/>
                <w:szCs w:val="24"/>
              </w:rPr>
              <w:fldChar w:fldCharType="end"/>
            </w:r>
          </w:p>
        </w:sdtContent>
      </w:sdt>
    </w:sdtContent>
  </w:sdt>
  <w:p w:rsidR="00E57252" w:rsidRDefault="00E66DB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DBE" w:rsidRDefault="00E66DBE" w:rsidP="00F27A35">
      <w:r>
        <w:separator/>
      </w:r>
    </w:p>
  </w:footnote>
  <w:footnote w:type="continuationSeparator" w:id="1">
    <w:p w:rsidR="00E66DBE" w:rsidRDefault="00E66DBE" w:rsidP="00F27A35">
      <w:r>
        <w:continuationSeparator/>
      </w:r>
    </w:p>
  </w:footnote>
  <w:footnote w:id="2">
    <w:p w:rsidR="00F27A35" w:rsidRDefault="00F27A35" w:rsidP="00F27A35">
      <w:pPr>
        <w:pStyle w:val="Textonotapie"/>
      </w:pPr>
      <w:r>
        <w:rPr>
          <w:rStyle w:val="Refdenotaalpie"/>
        </w:rPr>
        <w:footnoteRef/>
      </w:r>
      <w:r>
        <w:t xml:space="preserve"> Véase las Resoluciones Nº 490-2010-TC-S2 de fecha 03 de marzo del 2010 y Nº 371-2010-TC-S2 de fecha 17 de febrero de 2010.</w:t>
      </w:r>
    </w:p>
  </w:footnote>
  <w:footnote w:id="3">
    <w:p w:rsidR="006E46C7" w:rsidRDefault="006E46C7" w:rsidP="006E46C7">
      <w:pPr>
        <w:pStyle w:val="Textonotapie"/>
        <w:jc w:val="both"/>
        <w:rPr>
          <w:i/>
          <w:sz w:val="18"/>
          <w:szCs w:val="18"/>
        </w:rPr>
      </w:pPr>
      <w:r w:rsidRPr="001F0504">
        <w:rPr>
          <w:rStyle w:val="Refdenotaalpie"/>
          <w:i/>
          <w:sz w:val="18"/>
          <w:szCs w:val="18"/>
        </w:rPr>
        <w:footnoteRef/>
      </w:r>
      <w:r w:rsidRPr="001F0504">
        <w:rPr>
          <w:i/>
          <w:sz w:val="18"/>
          <w:szCs w:val="18"/>
        </w:rPr>
        <w:t xml:space="preserve"> Recaída sobre el Expediente Nº 1926.2009.TC respecto al recurso de apelación interpuesto por la empresa Bionet S.A. contra la descalificación de su propuesta técnica de </w:t>
      </w:r>
      <w:smartTag w:uri="urn:schemas-microsoft-com:office:smarttags" w:element="PersonName">
        <w:smartTagPr>
          <w:attr w:name="ProductID" w:val="la Licitación Pública"/>
        </w:smartTagPr>
        <w:r w:rsidRPr="001F0504">
          <w:rPr>
            <w:i/>
            <w:sz w:val="18"/>
            <w:szCs w:val="18"/>
          </w:rPr>
          <w:t>la Licitación Pública</w:t>
        </w:r>
      </w:smartTag>
      <w:r w:rsidRPr="001F0504">
        <w:rPr>
          <w:i/>
          <w:sz w:val="18"/>
          <w:szCs w:val="18"/>
        </w:rPr>
        <w:t xml:space="preserve"> Nº 035-2009/GRA, para la “Adquisición de módulos de laboratorio y otros para las obras San Juan Bautista de </w:t>
      </w:r>
      <w:smartTag w:uri="urn:schemas-microsoft-com:office:smarttags" w:element="PersonName">
        <w:smartTagPr>
          <w:attr w:name="ProductID" w:val="La Salle"/>
        </w:smartTagPr>
        <w:r w:rsidRPr="001F0504">
          <w:rPr>
            <w:i/>
            <w:sz w:val="18"/>
            <w:szCs w:val="18"/>
          </w:rPr>
          <w:t>La Salle</w:t>
        </w:r>
      </w:smartTag>
      <w:r w:rsidRPr="001F0504">
        <w:rPr>
          <w:i/>
          <w:sz w:val="18"/>
          <w:szCs w:val="18"/>
        </w:rPr>
        <w:t>, Micaela Bastidas y Libertador Castilla”</w:t>
      </w:r>
      <w:r>
        <w:rPr>
          <w:i/>
          <w:sz w:val="18"/>
          <w:szCs w:val="18"/>
        </w:rPr>
        <w:t>.</w:t>
      </w:r>
    </w:p>
    <w:p w:rsidR="006E46C7" w:rsidRPr="001F0504" w:rsidRDefault="006E46C7" w:rsidP="006E46C7">
      <w:pPr>
        <w:pStyle w:val="Textonotapie"/>
        <w:jc w:val="both"/>
        <w:rPr>
          <w:i/>
          <w:sz w:val="18"/>
          <w:szCs w:val="18"/>
        </w:rPr>
      </w:pPr>
    </w:p>
  </w:footnote>
  <w:footnote w:id="4">
    <w:p w:rsidR="006E46C7" w:rsidRDefault="006E46C7" w:rsidP="006E46C7">
      <w:pPr>
        <w:pStyle w:val="Textonotapie"/>
        <w:jc w:val="both"/>
        <w:rPr>
          <w:i/>
          <w:sz w:val="18"/>
          <w:szCs w:val="18"/>
        </w:rPr>
      </w:pPr>
      <w:r w:rsidRPr="001F0504">
        <w:rPr>
          <w:rStyle w:val="Refdenotaalpie"/>
          <w:i/>
          <w:sz w:val="18"/>
          <w:szCs w:val="18"/>
        </w:rPr>
        <w:footnoteRef/>
      </w:r>
      <w:r w:rsidRPr="001F0504">
        <w:rPr>
          <w:i/>
          <w:sz w:val="18"/>
          <w:szCs w:val="18"/>
        </w:rPr>
        <w:t xml:space="preserve"> Referida al Expediente N° 2596.2009.TC, sobre el recurso de apelación interpuesto por </w:t>
      </w:r>
      <w:r w:rsidRPr="001F0504">
        <w:rPr>
          <w:bCs/>
          <w:i/>
          <w:sz w:val="18"/>
          <w:szCs w:val="18"/>
        </w:rPr>
        <w:t xml:space="preserve">EXPORT IMPORT ORBE INTERNATIONAL S.A. </w:t>
      </w:r>
      <w:r w:rsidRPr="001F0504">
        <w:rPr>
          <w:i/>
          <w:sz w:val="18"/>
          <w:szCs w:val="18"/>
        </w:rPr>
        <w:t xml:space="preserve">contra su descalificación y el otorgamiento de la buena pro de los ítems Nº 14 y Nº 19 de </w:t>
      </w:r>
      <w:smartTag w:uri="urn:schemas-microsoft-com:office:smarttags" w:element="PersonName">
        <w:smartTagPr>
          <w:attr w:name="ProductID" w:val="la Licitación Pública"/>
        </w:smartTagPr>
        <w:r w:rsidRPr="001F0504">
          <w:rPr>
            <w:i/>
            <w:sz w:val="18"/>
            <w:szCs w:val="18"/>
          </w:rPr>
          <w:t>la Licitación</w:t>
        </w:r>
        <w:r w:rsidRPr="001F0504">
          <w:rPr>
            <w:i/>
            <w:sz w:val="18"/>
            <w:szCs w:val="18"/>
            <w:lang w:val="es-ES_tradnl"/>
          </w:rPr>
          <w:t xml:space="preserve"> Pública</w:t>
        </w:r>
      </w:smartTag>
      <w:r w:rsidRPr="001F0504">
        <w:rPr>
          <w:i/>
          <w:sz w:val="18"/>
          <w:szCs w:val="18"/>
          <w:lang w:val="es-ES_tradnl"/>
        </w:rPr>
        <w:t xml:space="preserve"> Nº 02-2009/EP-UO-0824</w:t>
      </w:r>
      <w:r w:rsidRPr="001F0504">
        <w:rPr>
          <w:i/>
          <w:sz w:val="18"/>
          <w:szCs w:val="18"/>
        </w:rPr>
        <w:t>, para la adquisición de alimentos de personas</w:t>
      </w:r>
      <w:r>
        <w:rPr>
          <w:i/>
          <w:sz w:val="18"/>
          <w:szCs w:val="18"/>
        </w:rPr>
        <w:t>.</w:t>
      </w:r>
    </w:p>
    <w:p w:rsidR="006E46C7" w:rsidRPr="001F0504" w:rsidRDefault="006E46C7" w:rsidP="006E46C7">
      <w:pPr>
        <w:pStyle w:val="Textonotapie"/>
        <w:jc w:val="both"/>
        <w:rPr>
          <w:i/>
          <w:sz w:val="18"/>
          <w:szCs w:val="18"/>
        </w:rPr>
      </w:pPr>
    </w:p>
  </w:footnote>
  <w:footnote w:id="5">
    <w:p w:rsidR="006E46C7" w:rsidRDefault="006E46C7" w:rsidP="006E46C7">
      <w:pPr>
        <w:pStyle w:val="Textonotapie"/>
        <w:jc w:val="both"/>
        <w:rPr>
          <w:i/>
          <w:sz w:val="18"/>
          <w:szCs w:val="18"/>
        </w:rPr>
      </w:pPr>
      <w:r w:rsidRPr="001F0504">
        <w:rPr>
          <w:rStyle w:val="Refdenotaalpie"/>
          <w:i/>
          <w:sz w:val="18"/>
          <w:szCs w:val="18"/>
        </w:rPr>
        <w:footnoteRef/>
      </w:r>
      <w:r w:rsidRPr="001F0504">
        <w:rPr>
          <w:i/>
          <w:sz w:val="18"/>
          <w:szCs w:val="18"/>
        </w:rPr>
        <w:t xml:space="preserve"> Emitida en el Expediente N° 27.2010.TC, sobre el recurso de apelación interpuesto por </w:t>
      </w:r>
      <w:r w:rsidRPr="001F0504">
        <w:rPr>
          <w:bCs/>
          <w:i/>
          <w:sz w:val="18"/>
          <w:szCs w:val="18"/>
        </w:rPr>
        <w:t xml:space="preserve">el CONSORCIO CORPORACIÓN AGROPECUARIA BERTHA SOCIEDAD ANONIMA CERRADA (CORPABER S.A.C.), CHAYPE S.A.C., </w:t>
      </w:r>
      <w:r w:rsidRPr="001F0504">
        <w:rPr>
          <w:i/>
          <w:sz w:val="18"/>
          <w:szCs w:val="18"/>
        </w:rPr>
        <w:t>y</w:t>
      </w:r>
      <w:r w:rsidRPr="001F0504">
        <w:rPr>
          <w:bCs/>
          <w:i/>
          <w:sz w:val="18"/>
          <w:szCs w:val="18"/>
        </w:rPr>
        <w:t xml:space="preserve">, REPRESENTACIONES MELISA E.I.R.L. </w:t>
      </w:r>
      <w:r w:rsidRPr="001F0504">
        <w:rPr>
          <w:i/>
          <w:sz w:val="18"/>
          <w:szCs w:val="18"/>
        </w:rPr>
        <w:t xml:space="preserve">contra el otorgamiento de la buena pro del ítem Nº 2 de </w:t>
      </w:r>
      <w:smartTag w:uri="urn:schemas-microsoft-com:office:smarttags" w:element="PersonName">
        <w:smartTagPr>
          <w:attr w:name="ProductID" w:val="la Licitación Pública"/>
        </w:smartTagPr>
        <w:r w:rsidRPr="001F0504">
          <w:rPr>
            <w:i/>
            <w:sz w:val="18"/>
            <w:szCs w:val="18"/>
          </w:rPr>
          <w:t>la Licitación</w:t>
        </w:r>
        <w:r w:rsidRPr="001F0504">
          <w:rPr>
            <w:i/>
            <w:sz w:val="18"/>
            <w:szCs w:val="18"/>
            <w:lang w:val="es-ES_tradnl"/>
          </w:rPr>
          <w:t xml:space="preserve"> Pública</w:t>
        </w:r>
      </w:smartTag>
      <w:r w:rsidRPr="001F0504">
        <w:rPr>
          <w:i/>
          <w:sz w:val="18"/>
          <w:szCs w:val="18"/>
          <w:lang w:val="es-ES_tradnl"/>
        </w:rPr>
        <w:t xml:space="preserve"> Nº 04-2009/2da. BRIG. INF</w:t>
      </w:r>
      <w:r w:rsidRPr="001F0504">
        <w:rPr>
          <w:i/>
          <w:sz w:val="18"/>
          <w:szCs w:val="18"/>
        </w:rPr>
        <w:t>, para la adquisición de alimentos de personas</w:t>
      </w:r>
      <w:r>
        <w:rPr>
          <w:i/>
          <w:sz w:val="18"/>
          <w:szCs w:val="18"/>
        </w:rPr>
        <w:t>.</w:t>
      </w:r>
    </w:p>
    <w:p w:rsidR="006E46C7" w:rsidRPr="001F0504" w:rsidRDefault="006E46C7" w:rsidP="006E46C7">
      <w:pPr>
        <w:pStyle w:val="Textonotapie"/>
        <w:jc w:val="both"/>
        <w:rPr>
          <w:i/>
          <w:sz w:val="18"/>
          <w:szCs w:val="18"/>
        </w:rPr>
      </w:pPr>
    </w:p>
  </w:footnote>
  <w:footnote w:id="6">
    <w:p w:rsidR="006E46C7" w:rsidRPr="001F0504" w:rsidRDefault="006E46C7" w:rsidP="006E46C7">
      <w:pPr>
        <w:pStyle w:val="Textonotapie"/>
        <w:jc w:val="both"/>
        <w:rPr>
          <w:i/>
          <w:sz w:val="18"/>
          <w:szCs w:val="18"/>
        </w:rPr>
      </w:pPr>
      <w:r w:rsidRPr="001F0504">
        <w:rPr>
          <w:rStyle w:val="Refdenotaalpie"/>
          <w:i/>
          <w:sz w:val="18"/>
          <w:szCs w:val="18"/>
        </w:rPr>
        <w:footnoteRef/>
      </w:r>
      <w:r w:rsidRPr="001F0504">
        <w:rPr>
          <w:i/>
          <w:sz w:val="18"/>
          <w:szCs w:val="18"/>
        </w:rPr>
        <w:t xml:space="preserve"> </w:t>
      </w:r>
      <w:r w:rsidRPr="001F0504">
        <w:rPr>
          <w:b/>
          <w:i/>
          <w:sz w:val="18"/>
          <w:szCs w:val="18"/>
        </w:rPr>
        <w:t>Artículo 39.- Garantías</w:t>
      </w:r>
      <w:r w:rsidRPr="001F0504">
        <w:rPr>
          <w:i/>
          <w:sz w:val="18"/>
          <w:szCs w:val="18"/>
        </w:rPr>
        <w:t xml:space="preserve"> </w:t>
      </w:r>
    </w:p>
    <w:p w:rsidR="006E46C7" w:rsidRPr="001F0504" w:rsidRDefault="006E46C7" w:rsidP="006E46C7">
      <w:pPr>
        <w:pStyle w:val="Textonotapie"/>
        <w:jc w:val="both"/>
        <w:rPr>
          <w:i/>
          <w:sz w:val="18"/>
          <w:szCs w:val="18"/>
        </w:rPr>
      </w:pPr>
      <w:r w:rsidRPr="001F0504">
        <w:rPr>
          <w:i/>
          <w:sz w:val="18"/>
          <w:szCs w:val="18"/>
        </w:rPr>
        <w:tab/>
        <w:t>Las garantías que deberán otorgar los postores y/o contratistas, según corresponda, son las de seriedad de oferta, fiel cumplimiento del contrato, por los adelantos y por el monto diferencial de propuesta; sus modalidades, montos y condiciones serán regulados en el Reglamento.</w:t>
      </w:r>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 xml:space="preserve">Las garantías que acepten las Entidades deben ser incondicionales, solidarias, irrevocables y de realización automática en el país al solo requerimiento de la respectiva Entidad, bajo responsabilidad de las empresas que las emiten, las mismas que deberán estar dentro del ámbito de supervisión de </w:t>
      </w:r>
      <w:smartTag w:uri="urn:schemas-microsoft-com:office:smarttags" w:element="PersonName">
        <w:smartTagPr>
          <w:attr w:name="ProductID" w:val="la Superintendencia"/>
        </w:smartTagPr>
        <w:r w:rsidRPr="001F0504">
          <w:rPr>
            <w:i/>
            <w:sz w:val="18"/>
            <w:szCs w:val="18"/>
          </w:rPr>
          <w:t>la Superintendencia</w:t>
        </w:r>
      </w:smartTag>
      <w:r w:rsidRPr="001F0504">
        <w:rPr>
          <w:i/>
          <w:sz w:val="18"/>
          <w:szCs w:val="18"/>
        </w:rPr>
        <w:t xml:space="preserve"> de Banca y Seguros y Administradoras de Fondos de Pensiones o estar consideradas en la última lista de bancos extranjeros de primera categoría que periódicamente publica el Banco Central de Reserva del Perú.</w:t>
      </w:r>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 xml:space="preserve">En virtud de la realización automática, a primera solicitud, las empresas emisoras no pueden oponer excusión alguna a la ejecución de las garantías debiendo limitarse a honrarlas de inmediato dentro del plazo máximo de tres (3) días. Toda demora generará responsabilidad solidaria para el emisor de la garantía y para el postor o contratista, y dará lugar al pago de intereses en favor de </w:t>
      </w:r>
      <w:smartTag w:uri="urn:schemas-microsoft-com:office:smarttags" w:element="PersonName">
        <w:smartTagPr>
          <w:attr w:name="ProductID" w:val="la Entidad."/>
        </w:smartTagPr>
        <w:r w:rsidRPr="001F0504">
          <w:rPr>
            <w:i/>
            <w:sz w:val="18"/>
            <w:szCs w:val="18"/>
          </w:rPr>
          <w:t>la Entidad.</w:t>
        </w:r>
      </w:smartTag>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El Reglamento señalará el tratamiento a seguirse en los casos de contratos de arrendamiento y de aquellos donde la prestación se cumpla por adelantado al pago.</w:t>
      </w:r>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 xml:space="preserve">En los contratos periódicos de suministro de bienes o de prestación de servicios, así como en los contratos de ejecución y consultoría de obras que celebren las Entidades con las Micro y Pequeñas Empresas, éstas últimas podrán otorgar como garantía de fiel cumplimiento el diez por ciento (10%) del monto total a contratar, porcentaje que será retenido por </w:t>
      </w:r>
      <w:smartTag w:uri="urn:schemas-microsoft-com:office:smarttags" w:element="PersonName">
        <w:smartTagPr>
          <w:attr w:name="ProductID" w:val="la Entidad."/>
        </w:smartTagPr>
        <w:r w:rsidRPr="001F0504">
          <w:rPr>
            <w:i/>
            <w:sz w:val="18"/>
            <w:szCs w:val="18"/>
          </w:rPr>
          <w:t>la Entidad.</w:t>
        </w:r>
      </w:smartTag>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 xml:space="preserve">En el caso de los contratos para la ejecución de obras, tal beneficio sólo será procedente cuando: </w:t>
      </w:r>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a) Por el monto, el contrato a suscribirse corresponda a un proceso de selección de adjudicación de menor cuantía, a una adjudicación directa selectiva o a una adjudicación directa pública;</w:t>
      </w:r>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b) El plazo de ejecución de la obra sea igual o mayor a sesenta (60) días calendario; y,</w:t>
      </w:r>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c) El pago a favor del contratista considere, al menos, dos (2) valorizaciones periódicas en función del avance de la obra.</w:t>
      </w:r>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Sin perjuicio de la conservación definitiva de los montos retenidos, el incumplimiento injustificado por parte de los contratistas beneficiados con lo dispuesto en el presente artículo, que motive la resolución del contrato, dará lugar a la inhabilitación temporal para contratar con el Estado por un período no menor a un (1) año ni mayor a dos (2) años.</w:t>
      </w:r>
    </w:p>
    <w:p w:rsidR="006E46C7" w:rsidRPr="001F0504" w:rsidRDefault="006E46C7" w:rsidP="006E46C7">
      <w:pPr>
        <w:pStyle w:val="Textonotapie"/>
        <w:jc w:val="both"/>
        <w:rPr>
          <w:i/>
          <w:sz w:val="18"/>
          <w:szCs w:val="18"/>
        </w:rPr>
      </w:pPr>
    </w:p>
  </w:footnote>
  <w:footnote w:id="7">
    <w:p w:rsidR="006E46C7" w:rsidRPr="001F0504" w:rsidRDefault="006E46C7" w:rsidP="006E46C7">
      <w:pPr>
        <w:pStyle w:val="Textonotapie"/>
        <w:jc w:val="both"/>
        <w:rPr>
          <w:i/>
          <w:sz w:val="18"/>
          <w:szCs w:val="18"/>
        </w:rPr>
      </w:pPr>
      <w:r w:rsidRPr="001F0504">
        <w:rPr>
          <w:rStyle w:val="Refdenotaalpie"/>
          <w:i/>
          <w:sz w:val="18"/>
          <w:szCs w:val="18"/>
        </w:rPr>
        <w:footnoteRef/>
      </w:r>
      <w:r w:rsidRPr="001F0504">
        <w:rPr>
          <w:i/>
          <w:sz w:val="18"/>
          <w:szCs w:val="18"/>
        </w:rPr>
        <w:t xml:space="preserve"> </w:t>
      </w:r>
      <w:r w:rsidRPr="001F0504">
        <w:rPr>
          <w:b/>
          <w:i/>
          <w:sz w:val="18"/>
          <w:szCs w:val="18"/>
        </w:rPr>
        <w:t>Artículo 157.- Garantía de seriedad de oferta</w:t>
      </w:r>
    </w:p>
    <w:p w:rsidR="006E46C7" w:rsidRPr="001F0504" w:rsidRDefault="006E46C7" w:rsidP="006E46C7">
      <w:pPr>
        <w:pStyle w:val="Textonotapie"/>
        <w:jc w:val="both"/>
        <w:rPr>
          <w:i/>
          <w:sz w:val="18"/>
          <w:szCs w:val="18"/>
        </w:rPr>
      </w:pPr>
      <w:r w:rsidRPr="001F0504">
        <w:rPr>
          <w:i/>
          <w:sz w:val="18"/>
          <w:szCs w:val="18"/>
        </w:rPr>
        <w:tab/>
        <w:t xml:space="preserve">En los procesos de Licitación Pública, Concurso Público y Adjudicación Directa, los postores deberán presentar la garantía de seriedad de oferta, la misma que tiene como finalidad garantizar la vigencia de la oferta. El postor que resulte ganador de </w:t>
      </w:r>
      <w:smartTag w:uri="urn:schemas-microsoft-com:office:smarttags" w:element="PersonName">
        <w:smartTagPr>
          <w:attr w:name="ProductID" w:val="la Buena Pro"/>
        </w:smartTagPr>
        <w:r w:rsidRPr="001F0504">
          <w:rPr>
            <w:i/>
            <w:sz w:val="18"/>
            <w:szCs w:val="18"/>
          </w:rPr>
          <w:t>la Buena Pro</w:t>
        </w:r>
      </w:smartTag>
      <w:r w:rsidRPr="001F0504">
        <w:rPr>
          <w:i/>
          <w:sz w:val="18"/>
          <w:szCs w:val="18"/>
        </w:rPr>
        <w:t xml:space="preserve"> y el que quedó en segundo lugar están obligados a mantener su vigencia hasta la suscripción del contrato.</w:t>
      </w:r>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 xml:space="preserve">Luego de consentida </w:t>
      </w:r>
      <w:smartTag w:uri="urn:schemas-microsoft-com:office:smarttags" w:element="PersonName">
        <w:smartTagPr>
          <w:attr w:name="ProductID" w:val="la Buena Pro"/>
        </w:smartTagPr>
        <w:r w:rsidRPr="001F0504">
          <w:rPr>
            <w:i/>
            <w:sz w:val="18"/>
            <w:szCs w:val="18"/>
          </w:rPr>
          <w:t>la Buena Pro</w:t>
        </w:r>
      </w:smartTag>
      <w:r w:rsidRPr="001F0504">
        <w:rPr>
          <w:i/>
          <w:sz w:val="18"/>
          <w:szCs w:val="18"/>
        </w:rPr>
        <w:t xml:space="preserve">, </w:t>
      </w:r>
      <w:smartTag w:uri="urn:schemas-microsoft-com:office:smarttags" w:element="PersonName">
        <w:smartTagPr>
          <w:attr w:name="ProductID" w:val="la Entidad"/>
        </w:smartTagPr>
        <w:r w:rsidRPr="001F0504">
          <w:rPr>
            <w:i/>
            <w:sz w:val="18"/>
            <w:szCs w:val="18"/>
          </w:rPr>
          <w:t>la Entidad</w:t>
        </w:r>
      </w:smartTag>
      <w:r w:rsidRPr="001F0504">
        <w:rPr>
          <w:i/>
          <w:sz w:val="18"/>
          <w:szCs w:val="18"/>
        </w:rPr>
        <w:t xml:space="preserve"> devolverá las garantías presentadas por los postores que no resultaron ganadores de </w:t>
      </w:r>
      <w:smartTag w:uri="urn:schemas-microsoft-com:office:smarttags" w:element="PersonName">
        <w:smartTagPr>
          <w:attr w:name="ProductID" w:val="la Buena Pro"/>
        </w:smartTagPr>
        <w:r w:rsidRPr="001F0504">
          <w:rPr>
            <w:i/>
            <w:sz w:val="18"/>
            <w:szCs w:val="18"/>
          </w:rPr>
          <w:t>la Buena Pro</w:t>
        </w:r>
      </w:smartTag>
      <w:r w:rsidRPr="001F0504">
        <w:rPr>
          <w:i/>
          <w:sz w:val="18"/>
          <w:szCs w:val="18"/>
        </w:rPr>
        <w:t>, con excepción del que ocupó el segundo lugar y de aquellos que decidan mantenerlas vigentes hasta la suscripción del contrato.</w:t>
      </w:r>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El monto de la garantía de seriedad de oferta será establecido en las Bases, en ningún caso será menor al uno por ciento (1%) ni mayor al dos por ciento (2%) del valor referencial. En el caso de proceso de selección con valor referencial reservado, dicho monto se efectuará en función a la oferta económica.</w:t>
      </w:r>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En las Adjudicaciones de Menor Cuantía o en los procesos de selección según relación de ítems cuando el valor referencial del ítem corresponda a una Adjudicación de Menor Cuantía, bastará que el postor presente en su propuesta técnica una declaración jurada donde se comprometa a mantener vigente su oferta hasta la suscripción del contrato.</w:t>
      </w:r>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 xml:space="preserve">La falta de renovación de la garantía genera la descalificación de la oferta económica o, en su caso, que se deje sin efecto </w:t>
      </w:r>
      <w:smartTag w:uri="urn:schemas-microsoft-com:office:smarttags" w:element="PersonName">
        <w:smartTagPr>
          <w:attr w:name="ProductID" w:val="la Buena Pro"/>
        </w:smartTagPr>
        <w:r w:rsidRPr="001F0504">
          <w:rPr>
            <w:i/>
            <w:sz w:val="18"/>
            <w:szCs w:val="18"/>
          </w:rPr>
          <w:t>la Buena Pro</w:t>
        </w:r>
      </w:smartTag>
      <w:r w:rsidRPr="001F0504">
        <w:rPr>
          <w:i/>
          <w:sz w:val="18"/>
          <w:szCs w:val="18"/>
        </w:rPr>
        <w:t xml:space="preserve"> otorgada.</w:t>
      </w:r>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El plazo de vigencia de la garantía de seriedad de oferta no podrá ser menor a dos (2) meses, computados a partir del día siguiente a la presentación de las propuestas. Estas garantías pueden ser renovadas.</w:t>
      </w:r>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 xml:space="preserve">Si, una vez otorgada </w:t>
      </w:r>
      <w:smartTag w:uri="urn:schemas-microsoft-com:office:smarttags" w:element="PersonName">
        <w:smartTagPr>
          <w:attr w:name="ProductID" w:val="la Buena Pro"/>
        </w:smartTagPr>
        <w:r w:rsidRPr="001F0504">
          <w:rPr>
            <w:i/>
            <w:sz w:val="18"/>
            <w:szCs w:val="18"/>
          </w:rPr>
          <w:t>la Buena Pro</w:t>
        </w:r>
      </w:smartTag>
      <w:r w:rsidRPr="001F0504">
        <w:rPr>
          <w:i/>
          <w:sz w:val="18"/>
          <w:szCs w:val="18"/>
        </w:rPr>
        <w:t>, el postor adjudicado no cumple con renovar su garantía ésta se ejecutará en su totalidad. Una vez suscrito el contrato el monto de la garantía será devuelto al postor, sin dar lugar al pago de intereses.</w:t>
      </w:r>
    </w:p>
    <w:p w:rsidR="006E46C7" w:rsidRPr="001F0504" w:rsidRDefault="006E46C7" w:rsidP="006E46C7">
      <w:pPr>
        <w:pStyle w:val="Textonotapie"/>
        <w:jc w:val="both"/>
        <w:rPr>
          <w:i/>
          <w:sz w:val="18"/>
          <w:szCs w:val="18"/>
        </w:rPr>
      </w:pPr>
    </w:p>
    <w:p w:rsidR="006E46C7" w:rsidRPr="001F0504" w:rsidRDefault="006E46C7" w:rsidP="006E46C7">
      <w:pPr>
        <w:pStyle w:val="Textonotapie"/>
        <w:jc w:val="both"/>
        <w:rPr>
          <w:i/>
          <w:sz w:val="18"/>
          <w:szCs w:val="18"/>
        </w:rPr>
      </w:pPr>
      <w:r w:rsidRPr="001F0504">
        <w:rPr>
          <w:i/>
          <w:sz w:val="18"/>
          <w:szCs w:val="18"/>
        </w:rPr>
        <w:tab/>
        <w:t xml:space="preserve">En los procesos electrónicos, cuando corresponda, la garantía de seriedad de oferta se presentará conforme a </w:t>
      </w:r>
      <w:smartTag w:uri="urn:schemas-microsoft-com:office:smarttags" w:element="PersonName">
        <w:smartTagPr>
          <w:attr w:name="ProductID" w:val="la Directiva"/>
        </w:smartTagPr>
        <w:r w:rsidRPr="001F0504">
          <w:rPr>
            <w:i/>
            <w:sz w:val="18"/>
            <w:szCs w:val="18"/>
          </w:rPr>
          <w:t>la Directiva</w:t>
        </w:r>
      </w:smartTag>
      <w:r w:rsidRPr="001F0504">
        <w:rPr>
          <w:i/>
          <w:sz w:val="18"/>
          <w:szCs w:val="18"/>
        </w:rPr>
        <w:t xml:space="preserve"> que para el efecto emita el OSCE.</w:t>
      </w:r>
    </w:p>
    <w:p w:rsidR="006E46C7" w:rsidRPr="001F0504" w:rsidRDefault="006E46C7" w:rsidP="006E46C7">
      <w:pPr>
        <w:pStyle w:val="Textonotapie"/>
        <w:jc w:val="both"/>
        <w:rPr>
          <w:i/>
          <w:sz w:val="18"/>
          <w:szCs w:val="18"/>
        </w:rPr>
      </w:pPr>
    </w:p>
    <w:p w:rsidR="006E46C7" w:rsidRDefault="006E46C7" w:rsidP="006E46C7">
      <w:pPr>
        <w:pStyle w:val="Textonotapie"/>
        <w:jc w:val="both"/>
        <w:rPr>
          <w:i/>
          <w:sz w:val="18"/>
          <w:szCs w:val="18"/>
        </w:rPr>
      </w:pPr>
      <w:r w:rsidRPr="001F0504">
        <w:rPr>
          <w:i/>
          <w:sz w:val="18"/>
          <w:szCs w:val="18"/>
        </w:rPr>
        <w:tab/>
        <w:t xml:space="preserve">En el caso de la no suscripción del contrato, por causas imputables al adjudicatario de </w:t>
      </w:r>
      <w:smartTag w:uri="urn:schemas-microsoft-com:office:smarttags" w:element="PersonName">
        <w:smartTagPr>
          <w:attr w:name="ProductID" w:val="la Buena Pro"/>
        </w:smartTagPr>
        <w:r w:rsidRPr="001F0504">
          <w:rPr>
            <w:i/>
            <w:sz w:val="18"/>
            <w:szCs w:val="18"/>
          </w:rPr>
          <w:t>la Buena Pro</w:t>
        </w:r>
      </w:smartTag>
      <w:r w:rsidRPr="001F0504">
        <w:rPr>
          <w:i/>
          <w:sz w:val="18"/>
          <w:szCs w:val="18"/>
        </w:rPr>
        <w:t xml:space="preserve">, se ejecutará la garantía en las mismas condiciones previstas en el párrafo anterior, una vez que quede consentida la decisión de dejar sin efecto </w:t>
      </w:r>
      <w:smartTag w:uri="urn:schemas-microsoft-com:office:smarttags" w:element="PersonName">
        <w:smartTagPr>
          <w:attr w:name="ProductID" w:val="la Buena Pro."/>
        </w:smartTagPr>
        <w:r w:rsidRPr="001F0504">
          <w:rPr>
            <w:i/>
            <w:sz w:val="18"/>
            <w:szCs w:val="18"/>
          </w:rPr>
          <w:t>la Buena Pro.</w:t>
        </w:r>
      </w:smartTag>
    </w:p>
    <w:p w:rsidR="006E46C7" w:rsidRPr="001F0504" w:rsidRDefault="006E46C7" w:rsidP="006E46C7">
      <w:pPr>
        <w:pStyle w:val="Textonotapie"/>
        <w:jc w:val="both"/>
        <w:rPr>
          <w:i/>
          <w:sz w:val="18"/>
          <w:szCs w:val="18"/>
        </w:rPr>
      </w:pPr>
    </w:p>
  </w:footnote>
  <w:footnote w:id="8">
    <w:p w:rsidR="006E46C7" w:rsidRDefault="006E46C7" w:rsidP="006E46C7">
      <w:pPr>
        <w:pStyle w:val="Textonotapie"/>
        <w:jc w:val="both"/>
        <w:rPr>
          <w:i/>
          <w:sz w:val="18"/>
          <w:szCs w:val="18"/>
        </w:rPr>
      </w:pPr>
      <w:r w:rsidRPr="001F0504">
        <w:rPr>
          <w:rStyle w:val="Refdenotaalpie"/>
          <w:i/>
          <w:sz w:val="18"/>
          <w:szCs w:val="18"/>
        </w:rPr>
        <w:footnoteRef/>
      </w:r>
      <w:r w:rsidRPr="001F0504">
        <w:rPr>
          <w:i/>
          <w:sz w:val="18"/>
          <w:szCs w:val="18"/>
        </w:rPr>
        <w:t xml:space="preserve"> Recaída en el Expediente N° 1674.2010.TC, sobre el recurso de apelación interpuesto por la empresa Importadora Fabhet S.R.L. contra la declaratoria de desierto del ítem Nº 5 de </w:t>
      </w:r>
      <w:smartTag w:uri="urn:schemas-microsoft-com:office:smarttags" w:element="PersonName">
        <w:smartTagPr>
          <w:attr w:name="ProductID" w:val="la Adjudicación"/>
        </w:smartTagPr>
        <w:r w:rsidRPr="001F0504">
          <w:rPr>
            <w:i/>
            <w:sz w:val="18"/>
            <w:szCs w:val="18"/>
          </w:rPr>
          <w:t>la Adjudicación</w:t>
        </w:r>
      </w:smartTag>
      <w:r w:rsidRPr="001F0504">
        <w:rPr>
          <w:i/>
          <w:sz w:val="18"/>
          <w:szCs w:val="18"/>
        </w:rPr>
        <w:t xml:space="preserve"> de Menor Cuantía Nº 72-2010-INEN (2da Convocatoria de </w:t>
      </w:r>
      <w:smartTag w:uri="urn:schemas-microsoft-com:office:smarttags" w:element="PersonName">
        <w:smartTagPr>
          <w:attr w:name="ProductID" w:val="la Licitación Pública"/>
        </w:smartTagPr>
        <w:r w:rsidRPr="001F0504">
          <w:rPr>
            <w:i/>
            <w:sz w:val="18"/>
            <w:szCs w:val="18"/>
          </w:rPr>
          <w:t>la Licitación Pública</w:t>
        </w:r>
      </w:smartTag>
      <w:r w:rsidRPr="001F0504">
        <w:rPr>
          <w:i/>
          <w:sz w:val="18"/>
          <w:szCs w:val="18"/>
        </w:rPr>
        <w:t xml:space="preserve"> Nº 009-2009-INEN)</w:t>
      </w:r>
      <w:r>
        <w:rPr>
          <w:i/>
          <w:sz w:val="18"/>
          <w:szCs w:val="18"/>
        </w:rPr>
        <w:t>.</w:t>
      </w:r>
    </w:p>
    <w:p w:rsidR="006E46C7" w:rsidRPr="001F0504" w:rsidRDefault="006E46C7" w:rsidP="006E46C7">
      <w:pPr>
        <w:pStyle w:val="Textonotapie"/>
        <w:jc w:val="both"/>
        <w:rPr>
          <w:i/>
          <w:sz w:val="18"/>
          <w:szCs w:val="18"/>
        </w:rPr>
      </w:pPr>
    </w:p>
  </w:footnote>
  <w:footnote w:id="9">
    <w:p w:rsidR="006E46C7" w:rsidRPr="001F0504" w:rsidRDefault="006E46C7" w:rsidP="006E46C7">
      <w:pPr>
        <w:pStyle w:val="Textonotapie"/>
        <w:jc w:val="both"/>
        <w:rPr>
          <w:i/>
          <w:sz w:val="18"/>
          <w:szCs w:val="18"/>
        </w:rPr>
      </w:pPr>
      <w:r w:rsidRPr="001F0504">
        <w:rPr>
          <w:rStyle w:val="Refdenotaalpie"/>
          <w:i/>
          <w:sz w:val="18"/>
          <w:szCs w:val="18"/>
        </w:rPr>
        <w:footnoteRef/>
      </w:r>
      <w:r w:rsidRPr="001F0504">
        <w:rPr>
          <w:i/>
          <w:sz w:val="18"/>
          <w:szCs w:val="18"/>
        </w:rPr>
        <w:t xml:space="preserve"> Relacionado al recurso de apelación interpuesto por el Consorcio Clientes Especiales en el marco del Concurso Público Nº 00016-2010-SEDAPAL.</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F83" w:rsidRDefault="00F06F83" w:rsidP="00F06F83">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F06F83" w:rsidRDefault="00F06F83" w:rsidP="00F06F83">
    <w:pPr>
      <w:pStyle w:val="Encabezado"/>
      <w:rPr>
        <w:noProof/>
      </w:rPr>
    </w:pPr>
  </w:p>
  <w:p w:rsidR="00F06F83" w:rsidRDefault="00F06F83" w:rsidP="00F06F83">
    <w:pPr>
      <w:pStyle w:val="Encabezado"/>
      <w:rPr>
        <w:noProof/>
      </w:rPr>
    </w:pPr>
  </w:p>
  <w:p w:rsidR="00F06F83" w:rsidRDefault="00F06F83" w:rsidP="00F06F83">
    <w:pPr>
      <w:pStyle w:val="Encabezado"/>
      <w:rPr>
        <w:noProof/>
      </w:rPr>
    </w:pPr>
  </w:p>
  <w:p w:rsidR="00F06F83" w:rsidRDefault="00F06F83" w:rsidP="00F06F83">
    <w:pPr>
      <w:pStyle w:val="Encabezado"/>
      <w:jc w:val="center"/>
    </w:pPr>
    <w:r>
      <w:rPr>
        <w:rFonts w:ascii="Monotype Corsiva" w:hAnsi="Monotype Corsiva"/>
        <w:b/>
        <w:sz w:val="44"/>
        <w:szCs w:val="44"/>
      </w:rPr>
      <w:t xml:space="preserve">Resolución Nº   </w:t>
    </w:r>
    <w:r>
      <w:rPr>
        <w:rFonts w:ascii="Tahoma" w:hAnsi="Tahoma" w:cs="Tahoma"/>
        <w:b/>
        <w:sz w:val="44"/>
        <w:szCs w:val="44"/>
      </w:rPr>
      <w:t>390-2011-TC-S1</w:t>
    </w:r>
  </w:p>
  <w:p w:rsidR="00F06F83" w:rsidRDefault="00F06F8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60602"/>
    <w:multiLevelType w:val="hybridMultilevel"/>
    <w:tmpl w:val="53D0A4A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AFD17D3"/>
    <w:multiLevelType w:val="hybridMultilevel"/>
    <w:tmpl w:val="49C8F3E2"/>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1A6103E"/>
    <w:multiLevelType w:val="hybridMultilevel"/>
    <w:tmpl w:val="F5AC6D9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3381E42"/>
    <w:multiLevelType w:val="hybridMultilevel"/>
    <w:tmpl w:val="051EB870"/>
    <w:lvl w:ilvl="0" w:tplc="2F485430">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36546475"/>
    <w:multiLevelType w:val="hybridMultilevel"/>
    <w:tmpl w:val="26B8BF70"/>
    <w:lvl w:ilvl="0" w:tplc="4EE623A8">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5">
    <w:nsid w:val="3D7A3EE7"/>
    <w:multiLevelType w:val="hybridMultilevel"/>
    <w:tmpl w:val="E8800228"/>
    <w:lvl w:ilvl="0" w:tplc="CC44D9E8">
      <w:start w:val="1"/>
      <w:numFmt w:val="lowerRoman"/>
      <w:lvlText w:val="(%1)"/>
      <w:lvlJc w:val="left"/>
      <w:pPr>
        <w:ind w:left="1287" w:hanging="360"/>
      </w:pPr>
      <w:rPr>
        <w:rFonts w:hint="default"/>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6">
    <w:nsid w:val="415A5D74"/>
    <w:multiLevelType w:val="hybridMultilevel"/>
    <w:tmpl w:val="36B634C0"/>
    <w:lvl w:ilvl="0" w:tplc="0ECAD502">
      <w:start w:val="1"/>
      <w:numFmt w:val="lowerRoman"/>
      <w:lvlText w:val="%1."/>
      <w:lvlJc w:val="left"/>
      <w:pPr>
        <w:ind w:left="1287" w:hanging="72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7">
    <w:nsid w:val="55E33539"/>
    <w:multiLevelType w:val="hybridMultilevel"/>
    <w:tmpl w:val="F8325FC8"/>
    <w:lvl w:ilvl="0" w:tplc="CC44D9E8">
      <w:start w:val="1"/>
      <w:numFmt w:val="lowerRoman"/>
      <w:lvlText w:val="(%1)"/>
      <w:lvlJc w:val="left"/>
      <w:pPr>
        <w:ind w:left="1287" w:hanging="360"/>
      </w:pPr>
      <w:rPr>
        <w:rFonts w:hint="default"/>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8">
    <w:nsid w:val="57C566B4"/>
    <w:multiLevelType w:val="hybridMultilevel"/>
    <w:tmpl w:val="956032B4"/>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9">
    <w:nsid w:val="5C3F1D62"/>
    <w:multiLevelType w:val="hybridMultilevel"/>
    <w:tmpl w:val="C9008B84"/>
    <w:lvl w:ilvl="0" w:tplc="B80C3012">
      <w:start w:val="1"/>
      <w:numFmt w:val="decimal"/>
      <w:lvlText w:val="%1."/>
      <w:lvlJc w:val="left"/>
      <w:pPr>
        <w:tabs>
          <w:tab w:val="num" w:pos="454"/>
        </w:tabs>
        <w:ind w:left="454" w:hanging="454"/>
      </w:pPr>
      <w:rPr>
        <w:rFonts w:ascii="Tahoma" w:hAnsi="Tahoma" w:cs="Tahoma" w:hint="default"/>
        <w:b/>
        <w:i w:val="0"/>
        <w:shadow w:val="0"/>
        <w:sz w:val="22"/>
        <w:szCs w:val="22"/>
        <w:u w:color="FFFFFF"/>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5DBA025C"/>
    <w:multiLevelType w:val="singleLevel"/>
    <w:tmpl w:val="A6941128"/>
    <w:lvl w:ilvl="0">
      <w:start w:val="1"/>
      <w:numFmt w:val="decimal"/>
      <w:lvlText w:val="%1."/>
      <w:legacy w:legacy="1" w:legacySpace="0" w:legacyIndent="360"/>
      <w:lvlJc w:val="left"/>
      <w:rPr>
        <w:rFonts w:ascii="Tahoma" w:hAnsi="Tahoma" w:cs="Tahoma" w:hint="default"/>
        <w:b/>
      </w:rPr>
    </w:lvl>
  </w:abstractNum>
  <w:abstractNum w:abstractNumId="11">
    <w:nsid w:val="688334D8"/>
    <w:multiLevelType w:val="hybridMultilevel"/>
    <w:tmpl w:val="B99E8E7E"/>
    <w:lvl w:ilvl="0" w:tplc="77E4F20E">
      <w:start w:val="1"/>
      <w:numFmt w:val="decimal"/>
      <w:lvlText w:val="%1."/>
      <w:lvlJc w:val="left"/>
      <w:pPr>
        <w:tabs>
          <w:tab w:val="num" w:pos="454"/>
        </w:tabs>
        <w:ind w:left="454" w:hanging="454"/>
      </w:pPr>
      <w:rPr>
        <w:rFonts w:ascii="Bookman Old Style" w:hAnsi="Bookman Old Style" w:cs="Tahoma" w:hint="default"/>
        <w:b/>
        <w:i w:val="0"/>
        <w:shadow/>
        <w:sz w:val="22"/>
        <w:szCs w:val="22"/>
        <w:u w:color="FFFFFF"/>
      </w:rPr>
    </w:lvl>
    <w:lvl w:ilvl="1" w:tplc="6CD6EE4A">
      <w:start w:val="1"/>
      <w:numFmt w:val="lowerRoman"/>
      <w:lvlText w:val="(%2)"/>
      <w:lvlJc w:val="left"/>
      <w:pPr>
        <w:tabs>
          <w:tab w:val="num" w:pos="1997"/>
        </w:tabs>
        <w:ind w:left="1997" w:hanging="720"/>
      </w:pPr>
      <w:rPr>
        <w:rFonts w:cs="Times New Roman" w:hint="default"/>
        <w:b/>
        <w:sz w:val="20"/>
        <w:szCs w:val="20"/>
      </w:rPr>
    </w:lvl>
    <w:lvl w:ilvl="2" w:tplc="0C0A001B">
      <w:start w:val="1"/>
      <w:numFmt w:val="lowerRoman"/>
      <w:lvlText w:val="%3."/>
      <w:lvlJc w:val="right"/>
      <w:pPr>
        <w:tabs>
          <w:tab w:val="num" w:pos="2160"/>
        </w:tabs>
        <w:ind w:left="2160" w:hanging="180"/>
      </w:pPr>
      <w:rPr>
        <w:rFonts w:cs="Times New Roman"/>
      </w:rPr>
    </w:lvl>
    <w:lvl w:ilvl="3" w:tplc="7442753A">
      <w:start w:val="10"/>
      <w:numFmt w:val="bullet"/>
      <w:lvlText w:val="-"/>
      <w:lvlJc w:val="left"/>
      <w:pPr>
        <w:tabs>
          <w:tab w:val="num" w:pos="2880"/>
        </w:tabs>
        <w:ind w:left="2880" w:hanging="360"/>
      </w:pPr>
      <w:rPr>
        <w:rFonts w:ascii="Bookman Old Style" w:eastAsia="Times New Roman" w:hAnsi="Bookman Old Style" w:hint="default"/>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2">
    <w:nsid w:val="6E3378D0"/>
    <w:multiLevelType w:val="hybridMultilevel"/>
    <w:tmpl w:val="43D018E0"/>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13">
    <w:nsid w:val="70067325"/>
    <w:multiLevelType w:val="hybridMultilevel"/>
    <w:tmpl w:val="26B8BF70"/>
    <w:lvl w:ilvl="0" w:tplc="4EE623A8">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4">
    <w:nsid w:val="72352AB3"/>
    <w:multiLevelType w:val="hybridMultilevel"/>
    <w:tmpl w:val="ABBE0F94"/>
    <w:lvl w:ilvl="0" w:tplc="FBC8EA4E">
      <w:start w:val="1"/>
      <w:numFmt w:val="decimal"/>
      <w:lvlText w:val="%1."/>
      <w:lvlJc w:val="left"/>
      <w:pPr>
        <w:tabs>
          <w:tab w:val="num" w:pos="360"/>
        </w:tabs>
        <w:ind w:left="360" w:hanging="360"/>
      </w:pPr>
      <w:rPr>
        <w:rFonts w:hint="default"/>
        <w:b/>
      </w:rPr>
    </w:lvl>
    <w:lvl w:ilvl="1" w:tplc="EFC877CA">
      <w:start w:val="1"/>
      <w:numFmt w:val="lowerRoman"/>
      <w:lvlText w:val="(%2)"/>
      <w:lvlJc w:val="left"/>
      <w:pPr>
        <w:tabs>
          <w:tab w:val="num" w:pos="1260"/>
        </w:tabs>
        <w:ind w:left="1260" w:hanging="720"/>
      </w:pPr>
      <w:rPr>
        <w:rFonts w:cs="Tahoma" w:hint="default"/>
        <w:b/>
      </w:rPr>
    </w:lvl>
    <w:lvl w:ilvl="2" w:tplc="0C0A001B" w:tentative="1">
      <w:start w:val="1"/>
      <w:numFmt w:val="lowerRoman"/>
      <w:lvlText w:val="%3."/>
      <w:lvlJc w:val="right"/>
      <w:pPr>
        <w:tabs>
          <w:tab w:val="num" w:pos="1620"/>
        </w:tabs>
        <w:ind w:left="1620" w:hanging="180"/>
      </w:pPr>
    </w:lvl>
    <w:lvl w:ilvl="3" w:tplc="0C0A000F" w:tentative="1">
      <w:start w:val="1"/>
      <w:numFmt w:val="decimal"/>
      <w:lvlText w:val="%4."/>
      <w:lvlJc w:val="left"/>
      <w:pPr>
        <w:tabs>
          <w:tab w:val="num" w:pos="2340"/>
        </w:tabs>
        <w:ind w:left="2340" w:hanging="360"/>
      </w:pPr>
    </w:lvl>
    <w:lvl w:ilvl="4" w:tplc="0C0A0019" w:tentative="1">
      <w:start w:val="1"/>
      <w:numFmt w:val="lowerLetter"/>
      <w:lvlText w:val="%5."/>
      <w:lvlJc w:val="left"/>
      <w:pPr>
        <w:tabs>
          <w:tab w:val="num" w:pos="3060"/>
        </w:tabs>
        <w:ind w:left="3060" w:hanging="360"/>
      </w:pPr>
    </w:lvl>
    <w:lvl w:ilvl="5" w:tplc="0C0A001B" w:tentative="1">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15">
    <w:nsid w:val="72476566"/>
    <w:multiLevelType w:val="hybridMultilevel"/>
    <w:tmpl w:val="AAF63DD2"/>
    <w:lvl w:ilvl="0" w:tplc="17BE472C">
      <w:start w:val="1"/>
      <w:numFmt w:val="decimal"/>
      <w:lvlText w:val="%1."/>
      <w:lvlJc w:val="left"/>
      <w:pPr>
        <w:ind w:left="720" w:hanging="360"/>
      </w:pPr>
      <w:rPr>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A137979"/>
    <w:multiLevelType w:val="hybridMultilevel"/>
    <w:tmpl w:val="BFDA7F5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9"/>
  </w:num>
  <w:num w:numId="2">
    <w:abstractNumId w:val="14"/>
  </w:num>
  <w:num w:numId="3">
    <w:abstractNumId w:val="3"/>
  </w:num>
  <w:num w:numId="4">
    <w:abstractNumId w:val="12"/>
  </w:num>
  <w:num w:numId="5">
    <w:abstractNumId w:val="0"/>
  </w:num>
  <w:num w:numId="6">
    <w:abstractNumId w:val="11"/>
  </w:num>
  <w:num w:numId="7">
    <w:abstractNumId w:val="8"/>
  </w:num>
  <w:num w:numId="8">
    <w:abstractNumId w:val="2"/>
  </w:num>
  <w:num w:numId="9">
    <w:abstractNumId w:val="15"/>
  </w:num>
  <w:num w:numId="10">
    <w:abstractNumId w:val="7"/>
  </w:num>
  <w:num w:numId="11">
    <w:abstractNumId w:val="6"/>
  </w:num>
  <w:num w:numId="12">
    <w:abstractNumId w:val="5"/>
  </w:num>
  <w:num w:numId="13">
    <w:abstractNumId w:val="4"/>
  </w:num>
  <w:num w:numId="14">
    <w:abstractNumId w:val="16"/>
  </w:num>
  <w:num w:numId="15">
    <w:abstractNumId w:val="10"/>
  </w:num>
  <w:num w:numId="16">
    <w:abstractNumId w:val="13"/>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F27A35"/>
    <w:rsid w:val="0000441C"/>
    <w:rsid w:val="0006596C"/>
    <w:rsid w:val="00441F0F"/>
    <w:rsid w:val="005A592B"/>
    <w:rsid w:val="005F0E2E"/>
    <w:rsid w:val="00694CE9"/>
    <w:rsid w:val="006E46C7"/>
    <w:rsid w:val="009042C5"/>
    <w:rsid w:val="009A4C1F"/>
    <w:rsid w:val="009C46AF"/>
    <w:rsid w:val="00AB590D"/>
    <w:rsid w:val="00AD5D0E"/>
    <w:rsid w:val="00BF4117"/>
    <w:rsid w:val="00C8462D"/>
    <w:rsid w:val="00D6338F"/>
    <w:rsid w:val="00DD1C0F"/>
    <w:rsid w:val="00DE747B"/>
    <w:rsid w:val="00E66DBE"/>
    <w:rsid w:val="00F06F83"/>
    <w:rsid w:val="00F27A35"/>
    <w:rsid w:val="00FA2B7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A35"/>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F27A35"/>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uiPriority w:val="99"/>
    <w:rsid w:val="00F27A35"/>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F27A35"/>
  </w:style>
  <w:style w:type="paragraph" w:styleId="Textoindependiente">
    <w:name w:val="Body Text"/>
    <w:basedOn w:val="Normal"/>
    <w:link w:val="TextoindependienteCar"/>
    <w:rsid w:val="00F27A35"/>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F27A35"/>
    <w:rPr>
      <w:rFonts w:ascii="Tahoma" w:eastAsia="Times New Roman" w:hAnsi="Tahoma" w:cs="Times New Roman"/>
      <w:szCs w:val="20"/>
      <w:lang w:val="es-ES_tradnl" w:eastAsia="es-ES"/>
    </w:rPr>
  </w:style>
  <w:style w:type="paragraph" w:customStyle="1" w:styleId="Textoindependiente21">
    <w:name w:val="Texto independiente 21"/>
    <w:basedOn w:val="Normal"/>
    <w:rsid w:val="00F27A35"/>
    <w:pPr>
      <w:jc w:val="both"/>
    </w:pPr>
    <w:rPr>
      <w:rFonts w:ascii="Tahoma" w:hAnsi="Tahoma"/>
      <w:sz w:val="22"/>
    </w:rPr>
  </w:style>
  <w:style w:type="paragraph" w:styleId="Textoindependiente3">
    <w:name w:val="Body Text 3"/>
    <w:basedOn w:val="Normal"/>
    <w:link w:val="Textoindependiente3Car"/>
    <w:rsid w:val="00F27A35"/>
    <w:pPr>
      <w:spacing w:after="120"/>
    </w:pPr>
    <w:rPr>
      <w:sz w:val="16"/>
      <w:szCs w:val="16"/>
      <w:lang w:val="es-PE"/>
    </w:rPr>
  </w:style>
  <w:style w:type="character" w:customStyle="1" w:styleId="Textoindependiente3Car">
    <w:name w:val="Texto independiente 3 Car"/>
    <w:basedOn w:val="Fuentedeprrafopredeter"/>
    <w:link w:val="Textoindependiente3"/>
    <w:rsid w:val="00F27A35"/>
    <w:rPr>
      <w:rFonts w:ascii="Times New Roman" w:eastAsia="Times New Roman" w:hAnsi="Times New Roman" w:cs="Times New Roman"/>
      <w:sz w:val="16"/>
      <w:szCs w:val="16"/>
      <w:lang w:val="es-PE" w:eastAsia="es-ES"/>
    </w:rPr>
  </w:style>
  <w:style w:type="paragraph" w:styleId="Textonotapie">
    <w:name w:val="footnote text"/>
    <w:aliases w:val=" Car,Car, Car2 Car Car Car Car Car, Car2 Car Car, Car2 Car Car Car Car Car Car, Car2 Car1 Car, Car Car Car, Car1 Car, Car2 Car, Car2, Car1,Car1 Car Car, Car4,Car Car Car,Car4,Texto nota pie1,Body Text,Car Car1, Car3,Ca"/>
    <w:basedOn w:val="Normal"/>
    <w:link w:val="TextonotapieCar"/>
    <w:rsid w:val="00F27A35"/>
  </w:style>
  <w:style w:type="character" w:customStyle="1" w:styleId="TextonotapieCar">
    <w:name w:val="Texto nota pie Car"/>
    <w:aliases w:val=" Car Car,Car Car, Car2 Car Car Car Car Car Car1, Car2 Car Car Car, Car2 Car Car Car Car Car Car Car, Car2 Car1 Car Car, Car Car Car Car, Car1 Car Car, Car2 Car Car1, Car2 Car1, Car1 Car1,Car1 Car Car Car, Car4 Car,Car Car Car Car"/>
    <w:basedOn w:val="Fuentedeprrafopredeter"/>
    <w:link w:val="Textonotapie"/>
    <w:rsid w:val="00F27A35"/>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F27A35"/>
    <w:rPr>
      <w:vertAlign w:val="superscript"/>
    </w:rPr>
  </w:style>
  <w:style w:type="paragraph" w:styleId="Sangradetextonormal">
    <w:name w:val="Body Text Indent"/>
    <w:basedOn w:val="Normal"/>
    <w:link w:val="SangradetextonormalCar"/>
    <w:rsid w:val="00F27A35"/>
    <w:pPr>
      <w:spacing w:after="120"/>
      <w:ind w:left="283"/>
    </w:pPr>
  </w:style>
  <w:style w:type="character" w:customStyle="1" w:styleId="SangradetextonormalCar">
    <w:name w:val="Sangría de texto normal Car"/>
    <w:basedOn w:val="Fuentedeprrafopredeter"/>
    <w:link w:val="Sangradetextonormal"/>
    <w:rsid w:val="00F27A35"/>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F27A35"/>
    <w:pPr>
      <w:ind w:left="708"/>
    </w:pPr>
    <w:rPr>
      <w:lang w:eastAsia="es-PE"/>
    </w:rPr>
  </w:style>
  <w:style w:type="table" w:styleId="Tablaconcuadrcula">
    <w:name w:val="Table Grid"/>
    <w:basedOn w:val="Tablanormal"/>
    <w:rsid w:val="00F27A35"/>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
    <w:name w:val="List"/>
    <w:basedOn w:val="Normal"/>
    <w:uiPriority w:val="99"/>
    <w:unhideWhenUsed/>
    <w:rsid w:val="00F27A35"/>
    <w:pPr>
      <w:ind w:left="283" w:hanging="283"/>
      <w:contextualSpacing/>
    </w:pPr>
    <w:rPr>
      <w:sz w:val="24"/>
      <w:szCs w:val="24"/>
    </w:rPr>
  </w:style>
  <w:style w:type="paragraph" w:customStyle="1" w:styleId="WW-Textosinformato">
    <w:name w:val="WW-Texto sin formato"/>
    <w:basedOn w:val="Normal"/>
    <w:rsid w:val="00F27A35"/>
    <w:pPr>
      <w:suppressAutoHyphens/>
    </w:pPr>
    <w:rPr>
      <w:rFonts w:ascii="Courier New" w:eastAsia="MS Mincho" w:hAnsi="Courier New"/>
      <w:lang w:val="es-PE"/>
    </w:rPr>
  </w:style>
  <w:style w:type="paragraph" w:styleId="Encabezado">
    <w:name w:val="header"/>
    <w:aliases w:val="maria,h"/>
    <w:basedOn w:val="Normal"/>
    <w:link w:val="EncabezadoCar"/>
    <w:uiPriority w:val="99"/>
    <w:semiHidden/>
    <w:unhideWhenUsed/>
    <w:rsid w:val="00F06F83"/>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F06F83"/>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170636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17</Pages>
  <Words>5806</Words>
  <Characters>31936</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11</cp:revision>
  <cp:lastPrinted>2011-03-04T17:16:00Z</cp:lastPrinted>
  <dcterms:created xsi:type="dcterms:W3CDTF">2011-03-04T15:15:00Z</dcterms:created>
  <dcterms:modified xsi:type="dcterms:W3CDTF">2011-04-06T16:21:00Z</dcterms:modified>
</cp:coreProperties>
</file>